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4"/>
          <w:szCs w:val="24"/>
        </w:rPr>
      </w:pPr>
      <w:r>
        <w:rPr>
          <w:rFonts w:ascii="宋体" w:hAnsi="宋体"/>
          <w:b/>
          <w:bCs/>
          <w:color w:val="000000"/>
          <w:kern w:val="0"/>
          <w:sz w:val="24"/>
          <w:szCs w:val="24"/>
        </w:rPr>
        <w:t>抚州市高临固废环境服务有限公司</w:t>
      </w:r>
      <w:r>
        <w:rPr>
          <w:rFonts w:hint="eastAsia" w:ascii="宋体" w:hAnsi="宋体"/>
          <w:b/>
          <w:bCs/>
          <w:color w:val="000000"/>
          <w:kern w:val="0"/>
          <w:sz w:val="24"/>
          <w:szCs w:val="24"/>
        </w:rPr>
        <w:t>职业病危害控制效果评价报告公示</w:t>
      </w:r>
    </w:p>
    <w:tbl>
      <w:tblPr>
        <w:tblStyle w:val="6"/>
        <w:tblW w:w="0" w:type="auto"/>
        <w:tblInd w:w="1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14"/>
        <w:gridCol w:w="2098"/>
        <w:gridCol w:w="634"/>
        <w:gridCol w:w="2112"/>
        <w:gridCol w:w="342"/>
        <w:gridCol w:w="788"/>
        <w:gridCol w:w="121"/>
        <w:gridCol w:w="7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4" w:hRule="atLeast"/>
        </w:trPr>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项目名称</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rPr>
                <w:rFonts w:ascii="宋体" w:hAnsi="宋体"/>
                <w:kern w:val="0"/>
              </w:rPr>
            </w:pPr>
            <w:r>
              <w:rPr>
                <w:rFonts w:hint="eastAsia" w:ascii="宋体" w:hAnsi="宋体"/>
                <w:bCs/>
                <w:color w:val="000000"/>
                <w:kern w:val="0"/>
              </w:rPr>
              <w:t>抚州高新区小微企业危险废物集中收集项目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报告编号</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京华评字 KP2023-015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抚州市高临固废环境服务有限公司</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地理位置</w:t>
            </w:r>
          </w:p>
        </w:tc>
        <w:tc>
          <w:tcPr>
            <w:tcW w:w="2456"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江西省抚州市高新区仙溪路与黄司公大道交叉口西160米江西亚博特电子科技有限公司内</w:t>
            </w:r>
          </w:p>
        </w:tc>
        <w:tc>
          <w:tcPr>
            <w:tcW w:w="910"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kern w:val="0"/>
              </w:rPr>
              <w:t>联系人</w:t>
            </w:r>
          </w:p>
        </w:tc>
        <w:tc>
          <w:tcPr>
            <w:tcW w:w="771"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邓志刚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项目简介</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抚州市高临固废环境服务有限公司成立于2023年03月01日，注册地位于江西省抚州市抚州高新技术产业开发区高新二路与火炬四路交叉口往西北约140米江西亚博特电子科技有限公司内，法定代表人为廖尧，占地面积1345.5平方米。抚州市高临固废环境服务有限公司抚州高新区小微企业危险废物集中收集项目。本项目为新建项目，项目于2023年5月开工建设，2023年11月开始组织试运营。项目生产运行期间主要工艺设备和辅助设施运行状况良好，公司已建立职业卫生管理制度，为职工配置了个人防护用品，未进行职业健康体检。根据建设单位提供的资料，项目自生产运行以来，未发生过职业中毒及其它职业危害事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现场调查人员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 xml:space="preserve">付雪琴、付伟民  </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2023年11月13日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邓志刚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color w:val="333333"/>
                <w:kern w:val="0"/>
              </w:rPr>
              <w:t>现场</w:t>
            </w:r>
            <w:r>
              <w:rPr>
                <w:rFonts w:hint="eastAsia" w:ascii="宋体" w:hAnsi="宋体"/>
                <w:b/>
                <w:bCs/>
                <w:kern w:val="0"/>
              </w:rPr>
              <w:t>采样、检测人员</w:t>
            </w:r>
          </w:p>
        </w:tc>
        <w:tc>
          <w:tcPr>
            <w:tcW w:w="2100"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付雪琴、曾为、李甜、赵文金、吴桂兰</w:t>
            </w:r>
          </w:p>
        </w:tc>
        <w:tc>
          <w:tcPr>
            <w:tcW w:w="63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时间</w:t>
            </w:r>
          </w:p>
        </w:tc>
        <w:tc>
          <w:tcPr>
            <w:tcW w:w="2114" w:type="dxa"/>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2023年11月16日-111月18日</w:t>
            </w:r>
          </w:p>
        </w:tc>
        <w:tc>
          <w:tcPr>
            <w:tcW w:w="1131" w:type="dxa"/>
            <w:gridSpan w:val="2"/>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建设单位陪同人</w:t>
            </w:r>
          </w:p>
        </w:tc>
        <w:tc>
          <w:tcPr>
            <w:tcW w:w="892" w:type="dxa"/>
            <w:gridSpan w:val="2"/>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kern w:val="0"/>
              </w:rPr>
            </w:pPr>
            <w:r>
              <w:rPr>
                <w:rFonts w:hint="eastAsia" w:ascii="宋体" w:hAnsi="宋体"/>
                <w:kern w:val="0"/>
              </w:rPr>
              <w:t>邓志刚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建设项目存在的职业病危害因素及检测结果</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本项目存在的主要职业病危害因素包括</w:t>
            </w:r>
          </w:p>
          <w:p>
            <w:pPr>
              <w:ind w:firstLine="560"/>
              <w:rPr>
                <w:rFonts w:ascii="宋体" w:hAnsi="宋体"/>
                <w:kern w:val="0"/>
              </w:rPr>
            </w:pPr>
            <w:r>
              <w:rPr>
                <w:rFonts w:hint="eastAsia" w:ascii="宋体" w:hAnsi="宋体"/>
                <w:kern w:val="0"/>
              </w:rPr>
              <w:t>化学有害因素：苯、甲苯、二甲苯、氨、氮氧化物、硫化氢、氯化氢</w:t>
            </w:r>
          </w:p>
          <w:p>
            <w:pPr>
              <w:ind w:firstLine="560"/>
              <w:rPr>
                <w:rFonts w:ascii="宋体" w:hAnsi="宋体"/>
                <w:kern w:val="0"/>
              </w:rPr>
            </w:pPr>
            <w:r>
              <w:rPr>
                <w:rFonts w:hint="eastAsia" w:ascii="宋体" w:hAnsi="宋体"/>
                <w:kern w:val="0"/>
              </w:rPr>
              <w:t>物理因素：噪声</w:t>
            </w:r>
          </w:p>
          <w:p>
            <w:pPr>
              <w:ind w:firstLine="560"/>
              <w:rPr>
                <w:rFonts w:ascii="宋体" w:hAnsi="宋体"/>
                <w:kern w:val="0"/>
              </w:rPr>
            </w:pPr>
            <w:r>
              <w:rPr>
                <w:rFonts w:hint="eastAsia" w:ascii="宋体" w:hAnsi="宋体"/>
                <w:kern w:val="0"/>
              </w:rPr>
              <w:t>① 由现场检测结果可知，建设项目有害物质短时间接触浓度、最高容许浓度、时间加权平均容许浓度符合国家卫生标准要求。</w:t>
            </w:r>
          </w:p>
          <w:p>
            <w:pPr>
              <w:ind w:firstLine="560"/>
              <w:rPr>
                <w:rFonts w:ascii="宋体" w:hAnsi="宋体"/>
                <w:kern w:val="0"/>
              </w:rPr>
            </w:pPr>
            <w:r>
              <w:rPr>
                <w:rFonts w:hint="eastAsia" w:ascii="宋体" w:hAnsi="宋体"/>
                <w:kern w:val="0"/>
              </w:rPr>
              <w:t>② 由现场检测结果可知，建设项目工作岗位噪声检测结果符合国家卫生标准要求。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评价结论及建议</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本项目属于“职业病危害严重”的建设项目，项目已建部分在设计、施工中，遵循了国家有关建设项目职业病防护设施与主体工程同时设计，同时施工，同时投入生产和使用的原则，采取了相应的职业病危害防护措施，基本符合国家有关法律、法规、标准、规范的要求。如果在运行过程中确保职业病防护设施正常、个体防护到位，严格执行各项职业卫生规章制度，落实本报告提出的整改建议，能够达到控制工作场所职业病危害、保护工人身体健康的目的。</w:t>
            </w:r>
          </w:p>
          <w:p>
            <w:pPr>
              <w:ind w:firstLine="560"/>
              <w:rPr>
                <w:rFonts w:ascii="宋体" w:hAnsi="宋体"/>
                <w:kern w:val="0"/>
              </w:rPr>
            </w:pPr>
            <w:r>
              <w:rPr>
                <w:rFonts w:hint="eastAsia" w:ascii="宋体" w:hAnsi="宋体"/>
                <w:kern w:val="0"/>
              </w:rPr>
              <w:t>其职业病防护设施运行正常，根据本报告书和检测报告及时落实其相关整改项，达到验收条件，建议企业自行组织有关职业卫生专家对职业病危害控制效果评价报告进行评审。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c>
          <w:tcPr>
            <w:tcW w:w="131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kern w:val="0"/>
              </w:rPr>
            </w:pPr>
            <w:r>
              <w:rPr>
                <w:rFonts w:hint="eastAsia" w:ascii="宋体" w:hAnsi="宋体"/>
                <w:b/>
                <w:bCs/>
                <w:kern w:val="0"/>
              </w:rPr>
              <w:t>技术审查专家组</w:t>
            </w:r>
          </w:p>
          <w:p>
            <w:pPr>
              <w:widowControl/>
              <w:jc w:val="center"/>
              <w:rPr>
                <w:rFonts w:ascii="宋体" w:hAnsi="宋体"/>
                <w:kern w:val="0"/>
              </w:rPr>
            </w:pPr>
            <w:r>
              <w:rPr>
                <w:rFonts w:hint="eastAsia" w:ascii="宋体" w:hAnsi="宋体"/>
                <w:b/>
                <w:bCs/>
                <w:kern w:val="0"/>
              </w:rPr>
              <w:t>评审意见</w:t>
            </w:r>
          </w:p>
        </w:tc>
        <w:tc>
          <w:tcPr>
            <w:tcW w:w="6872" w:type="dxa"/>
            <w:gridSpan w:val="7"/>
            <w:tcBorders>
              <w:top w:val="single" w:color="auto" w:sz="6" w:space="0"/>
              <w:left w:val="single" w:color="auto" w:sz="6" w:space="0"/>
              <w:bottom w:val="single" w:color="auto" w:sz="6" w:space="0"/>
              <w:right w:val="single" w:color="auto" w:sz="6" w:space="0"/>
            </w:tcBorders>
            <w:vAlign w:val="center"/>
          </w:tcPr>
          <w:p>
            <w:pPr>
              <w:ind w:firstLine="560"/>
              <w:rPr>
                <w:rFonts w:ascii="宋体" w:hAnsi="宋体"/>
                <w:kern w:val="0"/>
              </w:rPr>
            </w:pPr>
            <w:r>
              <w:rPr>
                <w:rFonts w:hint="eastAsia" w:ascii="宋体" w:hAnsi="宋体"/>
                <w:kern w:val="0"/>
              </w:rPr>
              <w:t>1、评价报告对建设项目概况等描述基本完整、准确；</w:t>
            </w:r>
          </w:p>
          <w:p>
            <w:pPr>
              <w:ind w:firstLine="560"/>
              <w:rPr>
                <w:rFonts w:ascii="宋体" w:hAnsi="宋体"/>
                <w:kern w:val="0"/>
              </w:rPr>
            </w:pPr>
            <w:r>
              <w:rPr>
                <w:rFonts w:hint="eastAsia" w:ascii="宋体" w:hAnsi="宋体"/>
                <w:kern w:val="0"/>
              </w:rPr>
              <w:t>2、评价报告对防护设施设计执行情况分析、评价等描述基本完整、准确；</w:t>
            </w:r>
          </w:p>
          <w:p>
            <w:pPr>
              <w:ind w:firstLine="560"/>
              <w:rPr>
                <w:rFonts w:ascii="宋体" w:hAnsi="宋体"/>
                <w:kern w:val="0"/>
              </w:rPr>
            </w:pPr>
            <w:r>
              <w:rPr>
                <w:rFonts w:hint="eastAsia" w:ascii="宋体" w:hAnsi="宋体"/>
                <w:kern w:val="0"/>
              </w:rPr>
              <w:t>3、评价报告对职业病防护设施检测和运行情况分析、评价等描述基本完整、准确；</w:t>
            </w:r>
          </w:p>
          <w:p>
            <w:pPr>
              <w:ind w:firstLine="560"/>
              <w:rPr>
                <w:rFonts w:ascii="宋体" w:hAnsi="宋体"/>
                <w:kern w:val="0"/>
              </w:rPr>
            </w:pPr>
            <w:r>
              <w:rPr>
                <w:rFonts w:hint="eastAsia" w:ascii="宋体" w:hAnsi="宋体"/>
                <w:kern w:val="0"/>
              </w:rPr>
              <w:t>4、评价报告对工作场所职业病危害因素检测分析、评价等描述较为全面、客观、准确；</w:t>
            </w:r>
          </w:p>
          <w:p>
            <w:pPr>
              <w:ind w:firstLine="560"/>
              <w:rPr>
                <w:rFonts w:ascii="宋体" w:hAnsi="宋体"/>
                <w:kern w:val="0"/>
              </w:rPr>
            </w:pPr>
            <w:r>
              <w:rPr>
                <w:rFonts w:hint="eastAsia" w:ascii="宋体" w:hAnsi="宋体"/>
                <w:kern w:val="0"/>
              </w:rPr>
              <w:t>5、评价报告对工作场所职业病危害因素日常监测情况分析、评价等描述基本完整、准确；</w:t>
            </w:r>
          </w:p>
          <w:p>
            <w:pPr>
              <w:ind w:firstLine="560"/>
              <w:rPr>
                <w:rFonts w:ascii="宋体" w:hAnsi="宋体"/>
                <w:kern w:val="0"/>
              </w:rPr>
            </w:pPr>
            <w:r>
              <w:rPr>
                <w:rFonts w:hint="eastAsia" w:ascii="宋体" w:hAnsi="宋体"/>
                <w:kern w:val="0"/>
              </w:rPr>
              <w:t>6、评价报告对职业病危害因素对劳动者健康危害程度分析、评价等描述基本完整、准确；</w:t>
            </w:r>
          </w:p>
          <w:p>
            <w:pPr>
              <w:ind w:firstLine="560"/>
              <w:rPr>
                <w:rFonts w:ascii="宋体" w:hAnsi="宋体"/>
                <w:kern w:val="0"/>
              </w:rPr>
            </w:pPr>
            <w:r>
              <w:rPr>
                <w:rFonts w:hint="eastAsia" w:ascii="宋体" w:hAnsi="宋体"/>
                <w:kern w:val="0"/>
              </w:rPr>
              <w:t>7、评价报告对职业病危害防治管理措施分析、评价等描述基本完整、准确；</w:t>
            </w:r>
          </w:p>
          <w:p>
            <w:pPr>
              <w:ind w:firstLine="560"/>
              <w:rPr>
                <w:rFonts w:ascii="宋体" w:hAnsi="宋体"/>
                <w:kern w:val="0"/>
              </w:rPr>
            </w:pPr>
            <w:r>
              <w:rPr>
                <w:rFonts w:ascii="宋体" w:hAnsi="宋体"/>
                <w:kern w:val="0"/>
              </w:rPr>
              <w:t>8</w:t>
            </w:r>
            <w:r>
              <w:rPr>
                <w:rFonts w:hint="eastAsia" w:ascii="宋体" w:hAnsi="宋体"/>
                <w:kern w:val="0"/>
              </w:rPr>
              <w:t>、评价报告对职业病危害事故应急救援和控制措施分析、评价等描述基本完整、准确；</w:t>
            </w:r>
          </w:p>
          <w:p>
            <w:pPr>
              <w:ind w:firstLine="560"/>
              <w:rPr>
                <w:rFonts w:ascii="宋体" w:hAnsi="宋体"/>
                <w:kern w:val="0"/>
              </w:rPr>
            </w:pPr>
            <w:r>
              <w:rPr>
                <w:rFonts w:ascii="宋体" w:hAnsi="宋体"/>
                <w:kern w:val="0"/>
              </w:rPr>
              <w:t>9</w:t>
            </w:r>
            <w:r>
              <w:rPr>
                <w:rFonts w:hint="eastAsia" w:ascii="宋体" w:hAnsi="宋体"/>
                <w:kern w:val="0"/>
              </w:rPr>
              <w:t>、评价报告对正常生产后建设项目职业病防治效果预期分析、评价等描述基本完整、准确；</w:t>
            </w:r>
          </w:p>
          <w:p>
            <w:pPr>
              <w:ind w:firstLine="560"/>
              <w:rPr>
                <w:rFonts w:ascii="宋体" w:hAnsi="宋体"/>
                <w:kern w:val="0"/>
              </w:rPr>
            </w:pPr>
            <w:r>
              <w:rPr>
                <w:rFonts w:hint="eastAsia" w:ascii="宋体" w:hAnsi="宋体"/>
                <w:kern w:val="0"/>
              </w:rPr>
              <w:t>1</w:t>
            </w:r>
            <w:r>
              <w:rPr>
                <w:rFonts w:ascii="宋体" w:hAnsi="宋体"/>
                <w:kern w:val="0"/>
              </w:rPr>
              <w:t>0</w:t>
            </w:r>
            <w:r>
              <w:rPr>
                <w:rFonts w:hint="eastAsia" w:ascii="宋体" w:hAnsi="宋体"/>
                <w:kern w:val="0"/>
              </w:rPr>
              <w:t>、评价报告对职业病危害防护补充措施及建议合理、可行，基本能满足保护劳动者健康的要求；</w:t>
            </w:r>
          </w:p>
          <w:p>
            <w:pPr>
              <w:ind w:firstLine="560"/>
              <w:rPr>
                <w:rFonts w:ascii="宋体" w:hAnsi="宋体"/>
                <w:kern w:val="0"/>
              </w:rPr>
            </w:pPr>
            <w:r>
              <w:rPr>
                <w:rFonts w:hint="eastAsia" w:ascii="宋体" w:hAnsi="宋体"/>
                <w:kern w:val="0"/>
              </w:rPr>
              <w:t>1</w:t>
            </w:r>
            <w:r>
              <w:rPr>
                <w:rFonts w:ascii="宋体" w:hAnsi="宋体"/>
                <w:kern w:val="0"/>
              </w:rPr>
              <w:t>1</w:t>
            </w:r>
            <w:r>
              <w:rPr>
                <w:rFonts w:hint="eastAsia" w:ascii="宋体" w:hAnsi="宋体"/>
                <w:kern w:val="0"/>
              </w:rPr>
              <w:t>、评价报告的评价结论，明确了建设项目的职业病危害风险类别，以及采取控制效果评价报告所提对策建议后，职业病防护设施和防护措施能符合职业病防治有关法律、法规、规章和标准的要求。</w:t>
            </w:r>
          </w:p>
          <w:p>
            <w:pPr>
              <w:ind w:firstLine="560"/>
              <w:rPr>
                <w:rFonts w:ascii="宋体" w:hAnsi="宋体"/>
                <w:kern w:val="0"/>
              </w:rPr>
            </w:pPr>
            <w:r>
              <w:rPr>
                <w:rFonts w:hint="eastAsia" w:ascii="宋体" w:hAnsi="宋体"/>
                <w:kern w:val="0"/>
              </w:rPr>
              <w:t>1</w:t>
            </w:r>
            <w:r>
              <w:rPr>
                <w:rFonts w:ascii="宋体" w:hAnsi="宋体"/>
                <w:kern w:val="0"/>
              </w:rPr>
              <w:t>2</w:t>
            </w:r>
            <w:r>
              <w:rPr>
                <w:rFonts w:hint="eastAsia" w:ascii="宋体" w:hAnsi="宋体"/>
                <w:kern w:val="0"/>
              </w:rPr>
              <w:t>、建议对下列问题修改完善，补充说明：</w:t>
            </w:r>
          </w:p>
          <w:p>
            <w:pPr>
              <w:ind w:firstLine="560"/>
              <w:rPr>
                <w:rFonts w:ascii="宋体" w:hAnsi="宋体"/>
                <w:kern w:val="0"/>
              </w:rPr>
            </w:pPr>
            <w:r>
              <w:rPr>
                <w:rFonts w:hint="eastAsia" w:ascii="宋体" w:hAnsi="宋体"/>
                <w:kern w:val="0"/>
              </w:rPr>
              <w:t>（1）完善更新法律、法规、标准、规范等编制依据；</w:t>
            </w:r>
          </w:p>
          <w:p>
            <w:pPr>
              <w:ind w:firstLine="560"/>
              <w:rPr>
                <w:rFonts w:ascii="宋体" w:hAnsi="宋体"/>
                <w:kern w:val="0"/>
              </w:rPr>
            </w:pPr>
            <w:r>
              <w:rPr>
                <w:rFonts w:hint="eastAsia" w:ascii="宋体" w:hAnsi="宋体"/>
                <w:kern w:val="0"/>
              </w:rPr>
              <w:t>（2）完善报告项目职业危害因素的分析、辨识；</w:t>
            </w:r>
          </w:p>
          <w:p>
            <w:pPr>
              <w:ind w:firstLine="560"/>
              <w:rPr>
                <w:rFonts w:ascii="宋体" w:hAnsi="宋体"/>
                <w:kern w:val="0"/>
              </w:rPr>
            </w:pPr>
            <w:r>
              <w:rPr>
                <w:rFonts w:hint="eastAsia" w:ascii="宋体" w:hAnsi="宋体"/>
                <w:kern w:val="0"/>
              </w:rPr>
              <w:t>（3）完善应急救援处置措施和相关应急救援器材一览表；</w:t>
            </w:r>
          </w:p>
          <w:p>
            <w:pPr>
              <w:ind w:firstLine="560"/>
              <w:rPr>
                <w:rFonts w:ascii="宋体" w:hAnsi="宋体"/>
                <w:kern w:val="0"/>
              </w:rPr>
            </w:pPr>
            <w:r>
              <w:rPr>
                <w:rFonts w:hint="eastAsia" w:ascii="宋体" w:hAnsi="宋体"/>
                <w:kern w:val="0"/>
              </w:rPr>
              <w:t>（4）完善项目规模、总体布局描述；</w:t>
            </w:r>
          </w:p>
          <w:p>
            <w:pPr>
              <w:ind w:firstLine="560"/>
              <w:rPr>
                <w:rFonts w:ascii="宋体" w:hAnsi="宋体"/>
                <w:kern w:val="0"/>
              </w:rPr>
            </w:pPr>
            <w:r>
              <w:rPr>
                <w:rFonts w:hint="eastAsia" w:ascii="宋体" w:hAnsi="宋体"/>
                <w:kern w:val="0"/>
              </w:rPr>
              <w:t>（5）专家其他意见。</w:t>
            </w:r>
          </w:p>
          <w:p>
            <w:pPr>
              <w:ind w:firstLine="560"/>
              <w:rPr>
                <w:rFonts w:ascii="宋体" w:hAnsi="宋体"/>
                <w:kern w:val="0"/>
              </w:rPr>
            </w:pPr>
            <w:r>
              <w:rPr>
                <w:rFonts w:hint="eastAsia" w:ascii="宋体" w:hAnsi="宋体"/>
                <w:kern w:val="0"/>
              </w:rPr>
              <w:t>1</w:t>
            </w:r>
            <w:r>
              <w:rPr>
                <w:rFonts w:ascii="宋体" w:hAnsi="宋体"/>
                <w:kern w:val="0"/>
              </w:rPr>
              <w:t>3</w:t>
            </w:r>
            <w:r>
              <w:rPr>
                <w:rFonts w:hint="eastAsia" w:ascii="宋体" w:hAnsi="宋体"/>
                <w:kern w:val="0"/>
              </w:rPr>
              <w:t>、对存在问题修改完善后，建议《评价报告》通过评审。</w:t>
            </w:r>
          </w:p>
          <w:p>
            <w:pPr>
              <w:widowControl/>
              <w:jc w:val="left"/>
              <w:rPr>
                <w:rFonts w:ascii="宋体" w:hAnsi="宋体"/>
                <w:kern w:val="0"/>
              </w:rPr>
            </w:pPr>
          </w:p>
        </w:tc>
      </w:tr>
    </w:tbl>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600" w:lineRule="exact"/>
        <w:ind w:right="-153" w:rightChars="-73"/>
        <w:rPr>
          <w:rFonts w:hint="eastAsia" w:ascii="宋体" w:hAnsi="宋体"/>
          <w:kern w:val="0"/>
        </w:rPr>
      </w:pPr>
    </w:p>
    <w:p>
      <w:pPr>
        <w:tabs>
          <w:tab w:val="left" w:pos="6840"/>
        </w:tabs>
        <w:spacing w:line="240" w:lineRule="auto"/>
        <w:ind w:right="-153" w:rightChars="-73"/>
        <w:rPr>
          <w:rFonts w:hint="eastAsia" w:ascii="宋体" w:hAnsi="宋体" w:eastAsia="宋体"/>
          <w:kern w:val="0"/>
          <w:lang w:eastAsia="zh-CN"/>
        </w:rPr>
      </w:pPr>
      <w:r>
        <w:rPr>
          <w:rFonts w:hint="eastAsia" w:ascii="宋体" w:hAnsi="宋体" w:eastAsia="宋体"/>
          <w:kern w:val="0"/>
          <w:lang w:eastAsia="zh-CN"/>
        </w:rPr>
        <w:drawing>
          <wp:inline distT="0" distB="0" distL="114300" distR="114300">
            <wp:extent cx="5262245" cy="7441565"/>
            <wp:effectExtent l="0" t="0" r="14605" b="6985"/>
            <wp:docPr id="7" name="图片 7" descr="未命名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1_00"/>
                    <pic:cNvPicPr>
                      <a:picLocks noChangeAspect="1"/>
                    </pic:cNvPicPr>
                  </pic:nvPicPr>
                  <pic:blipFill>
                    <a:blip r:embed="rId4"/>
                    <a:stretch>
                      <a:fillRect/>
                    </a:stretch>
                  </pic:blipFill>
                  <pic:spPr>
                    <a:xfrm>
                      <a:off x="0" y="0"/>
                      <a:ext cx="5262245" cy="744156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2245" cy="7441565"/>
            <wp:effectExtent l="0" t="0" r="14605" b="6985"/>
            <wp:docPr id="6" name="图片 6" descr="未命名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命名1_02"/>
                    <pic:cNvPicPr>
                      <a:picLocks noChangeAspect="1"/>
                    </pic:cNvPicPr>
                  </pic:nvPicPr>
                  <pic:blipFill>
                    <a:blip r:embed="rId5"/>
                    <a:stretch>
                      <a:fillRect/>
                    </a:stretch>
                  </pic:blipFill>
                  <pic:spPr>
                    <a:xfrm>
                      <a:off x="0" y="0"/>
                      <a:ext cx="5262245" cy="744156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2245" cy="7441565"/>
            <wp:effectExtent l="0" t="0" r="14605" b="6985"/>
            <wp:docPr id="5" name="图片 5" descr="未命名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_04"/>
                    <pic:cNvPicPr>
                      <a:picLocks noChangeAspect="1"/>
                    </pic:cNvPicPr>
                  </pic:nvPicPr>
                  <pic:blipFill>
                    <a:blip r:embed="rId6"/>
                    <a:stretch>
                      <a:fillRect/>
                    </a:stretch>
                  </pic:blipFill>
                  <pic:spPr>
                    <a:xfrm>
                      <a:off x="0" y="0"/>
                      <a:ext cx="5262245" cy="744156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2245" cy="7441565"/>
            <wp:effectExtent l="0" t="0" r="14605" b="6985"/>
            <wp:docPr id="4" name="图片 4" descr="未命名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_06"/>
                    <pic:cNvPicPr>
                      <a:picLocks noChangeAspect="1"/>
                    </pic:cNvPicPr>
                  </pic:nvPicPr>
                  <pic:blipFill>
                    <a:blip r:embed="rId7"/>
                    <a:stretch>
                      <a:fillRect/>
                    </a:stretch>
                  </pic:blipFill>
                  <pic:spPr>
                    <a:xfrm>
                      <a:off x="0" y="0"/>
                      <a:ext cx="5262245" cy="744156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2245" cy="7441565"/>
            <wp:effectExtent l="0" t="0" r="14605" b="6985"/>
            <wp:docPr id="3" name="图片 3" descr="未命名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1_08"/>
                    <pic:cNvPicPr>
                      <a:picLocks noChangeAspect="1"/>
                    </pic:cNvPicPr>
                  </pic:nvPicPr>
                  <pic:blipFill>
                    <a:blip r:embed="rId8"/>
                    <a:stretch>
                      <a:fillRect/>
                    </a:stretch>
                  </pic:blipFill>
                  <pic:spPr>
                    <a:xfrm>
                      <a:off x="0" y="0"/>
                      <a:ext cx="5262245" cy="7441565"/>
                    </a:xfrm>
                    <a:prstGeom prst="rect">
                      <a:avLst/>
                    </a:prstGeom>
                  </pic:spPr>
                </pic:pic>
              </a:graphicData>
            </a:graphic>
          </wp:inline>
        </w:drawing>
      </w:r>
      <w:r>
        <w:rPr>
          <w:rFonts w:hint="eastAsia" w:ascii="宋体" w:hAnsi="宋体" w:eastAsia="宋体"/>
          <w:kern w:val="0"/>
          <w:lang w:eastAsia="zh-CN"/>
        </w:rPr>
        <w:drawing>
          <wp:inline distT="0" distB="0" distL="114300" distR="114300">
            <wp:extent cx="5262245" cy="7441565"/>
            <wp:effectExtent l="0" t="0" r="14605" b="6985"/>
            <wp:docPr id="2" name="图片 2" descr="未命名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1_10"/>
                    <pic:cNvPicPr>
                      <a:picLocks noChangeAspect="1"/>
                    </pic:cNvPicPr>
                  </pic:nvPicPr>
                  <pic:blipFill>
                    <a:blip r:embed="rId9"/>
                    <a:stretch>
                      <a:fillRect/>
                    </a:stretch>
                  </pic:blipFill>
                  <pic:spPr>
                    <a:xfrm>
                      <a:off x="0" y="0"/>
                      <a:ext cx="5262245" cy="7441565"/>
                    </a:xfrm>
                    <a:prstGeom prst="rect">
                      <a:avLst/>
                    </a:prstGeom>
                  </pic:spPr>
                </pic:pic>
              </a:graphicData>
            </a:graphic>
          </wp:inline>
        </w:drawing>
      </w:r>
      <w:bookmarkStart w:id="0" w:name="_GoBack"/>
      <w:r>
        <w:rPr>
          <w:rFonts w:hint="eastAsia" w:ascii="宋体" w:hAnsi="宋体" w:eastAsia="宋体"/>
          <w:kern w:val="0"/>
          <w:lang w:eastAsia="zh-CN"/>
        </w:rPr>
        <w:drawing>
          <wp:inline distT="0" distB="0" distL="114300" distR="114300">
            <wp:extent cx="5262245" cy="7441565"/>
            <wp:effectExtent l="0" t="0" r="14605" b="6985"/>
            <wp:docPr id="1" name="图片 1" descr="未命名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1_12"/>
                    <pic:cNvPicPr>
                      <a:picLocks noChangeAspect="1"/>
                    </pic:cNvPicPr>
                  </pic:nvPicPr>
                  <pic:blipFill>
                    <a:blip r:embed="rId10"/>
                    <a:stretch>
                      <a:fillRect/>
                    </a:stretch>
                  </pic:blipFill>
                  <pic:spPr>
                    <a:xfrm>
                      <a:off x="0" y="0"/>
                      <a:ext cx="5262245" cy="7441565"/>
                    </a:xfrm>
                    <a:prstGeom prst="rect">
                      <a:avLst/>
                    </a:prstGeom>
                  </pic:spPr>
                </pic:pic>
              </a:graphicData>
            </a:graphic>
          </wp:inline>
        </w:drawing>
      </w:r>
      <w:bookmarkEnd w:id="0"/>
    </w:p>
    <w:p>
      <w:pPr>
        <w:tabs>
          <w:tab w:val="left" w:pos="6840"/>
        </w:tabs>
        <w:spacing w:line="600" w:lineRule="exact"/>
        <w:ind w:right="-153" w:rightChars="-73"/>
        <w:rPr>
          <w:rFonts w:hint="eastAsia" w:ascii="宋体" w:hAnsi="宋体"/>
          <w:kern w:val="0"/>
        </w:rPr>
      </w:pPr>
      <w:r>
        <w:rPr>
          <w:rFonts w:hint="eastAsia" w:ascii="宋体" w:hAnsi="宋体"/>
          <w:kern w:val="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QzYjAzNGVhOGU4ZWJlM2I2N2E2NmY2ZTI3MTgzYzQifQ=="/>
  </w:docVars>
  <w:rsids>
    <w:rsidRoot w:val="00712171"/>
    <w:rsid w:val="00226195"/>
    <w:rsid w:val="00457941"/>
    <w:rsid w:val="004E08A2"/>
    <w:rsid w:val="00712171"/>
    <w:rsid w:val="008209DA"/>
    <w:rsid w:val="009419F4"/>
    <w:rsid w:val="00986290"/>
    <w:rsid w:val="00A96750"/>
    <w:rsid w:val="00AB0D77"/>
    <w:rsid w:val="00B27FF6"/>
    <w:rsid w:val="00D03AE0"/>
    <w:rsid w:val="00E8501B"/>
    <w:rsid w:val="00FF0A04"/>
    <w:rsid w:val="3EDD0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next w:val="1"/>
    <w:uiPriority w:val="0"/>
    <w:pPr>
      <w:widowControl/>
      <w:spacing w:before="100" w:beforeAutospacing="1" w:after="100" w:afterAutospacing="1" w:line="490" w:lineRule="exact"/>
      <w:ind w:firstLine="200" w:firstLineChars="200"/>
      <w:jc w:val="left"/>
    </w:pPr>
    <w:rPr>
      <w:rFonts w:ascii="宋体" w:hAnsi="宋体" w:cs="宋体"/>
      <w:kern w:val="0"/>
      <w:sz w:val="24"/>
      <w:szCs w:val="24"/>
    </w:rPr>
  </w:style>
  <w:style w:type="character" w:customStyle="1" w:styleId="8">
    <w:name w:val="页眉 Char"/>
    <w:basedOn w:val="7"/>
    <w:link w:val="4"/>
    <w:autoRedefine/>
    <w:semiHidden/>
    <w:qFormat/>
    <w:uiPriority w:val="99"/>
    <w:rPr>
      <w:rFonts w:ascii="Calibri" w:hAnsi="Calibri" w:eastAsia="宋体" w:cs="Times New Roman"/>
      <w:sz w:val="18"/>
      <w:szCs w:val="18"/>
    </w:rPr>
  </w:style>
  <w:style w:type="character" w:customStyle="1" w:styleId="9">
    <w:name w:val="页脚 Char"/>
    <w:basedOn w:val="7"/>
    <w:link w:val="3"/>
    <w:semiHidden/>
    <w:uiPriority w:val="99"/>
    <w:rPr>
      <w:rFonts w:ascii="Calibri" w:hAnsi="Calibri" w:eastAsia="宋体" w:cs="Times New Roman"/>
      <w:sz w:val="18"/>
      <w:szCs w:val="18"/>
    </w:rPr>
  </w:style>
  <w:style w:type="character" w:customStyle="1" w:styleId="10">
    <w:name w:val="批注框文本 Char"/>
    <w:basedOn w:val="7"/>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Pages>
  <Words>264</Words>
  <Characters>1506</Characters>
  <Lines>12</Lines>
  <Paragraphs>3</Paragraphs>
  <TotalTime>45</TotalTime>
  <ScaleCrop>false</ScaleCrop>
  <LinksUpToDate>false</LinksUpToDate>
  <CharactersWithSpaces>1767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2023-12-27T03:30:00Z</dcterms:created>
  <dc:creator>微软用户</dc:creator>
  <cp:lastModifiedBy>瓜和褐耪商</cp:lastModifiedBy>
  <dcterms:modified xsi:type="dcterms:W3CDTF">2024-01-23T04:06:26Z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8A99A501F5994F539EFC230AA2A5D153_12</vt:lpwstr>
  </property>
</Properties>
</file>