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050" w:firstLineChars="500"/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  <w:lang w:val="en-US" w:eastAsia="zh-CN"/>
        </w:rPr>
        <w:t>江西天戌药业有限公司</w:t>
      </w:r>
      <w:r>
        <w:rPr>
          <w:rFonts w:hint="eastAsia" w:ascii="宋体" w:hAnsi="宋体" w:eastAsia="宋体" w:cs="Times New Roman"/>
          <w:kern w:val="0"/>
        </w:rPr>
        <w:t>职业病危害</w:t>
      </w:r>
      <w:r>
        <w:rPr>
          <w:rFonts w:hint="eastAsia" w:ascii="宋体" w:hAnsi="宋体" w:cs="Times New Roman"/>
          <w:kern w:val="0"/>
          <w:lang w:val="en-US" w:eastAsia="zh-CN"/>
        </w:rPr>
        <w:t>控制效果</w:t>
      </w:r>
      <w:r>
        <w:rPr>
          <w:rFonts w:hint="eastAsia" w:ascii="宋体" w:hAnsi="宋体" w:eastAsia="宋体" w:cs="Times New Roman"/>
          <w:kern w:val="0"/>
        </w:rPr>
        <w:t>评价报告公示</w:t>
      </w:r>
    </w:p>
    <w:tbl>
      <w:tblPr>
        <w:tblStyle w:val="11"/>
        <w:tblW w:w="8179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098"/>
        <w:gridCol w:w="634"/>
        <w:gridCol w:w="2112"/>
        <w:gridCol w:w="342"/>
        <w:gridCol w:w="788"/>
        <w:gridCol w:w="121"/>
        <w:gridCol w:w="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项目名称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江西天戌药业有限公司四期技术改造项目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报告编号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京华评字KP2023-005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建设单位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江西天戌药业有限公司</w:t>
            </w:r>
          </w:p>
        </w:tc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地理位置</w:t>
            </w:r>
          </w:p>
        </w:tc>
        <w:tc>
          <w:tcPr>
            <w:tcW w:w="2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kern w:val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CN" w:eastAsia="zh-CN"/>
              </w:rPr>
              <w:t>江西省抚州市宜黄县工业园区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,</w:t>
            </w:r>
            <w:r>
              <w:rPr>
                <w:rFonts w:hint="eastAsia" w:ascii="宋体" w:hAnsi="宋体" w:eastAsia="宋体" w:cs="Times New Roman"/>
                <w:kern w:val="0"/>
                <w:lang w:val="zh-CN" w:eastAsia="zh-CN"/>
              </w:rPr>
              <w:t>丰伟路以东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联系人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刘虎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90" w:lineRule="exact"/>
              <w:ind w:firstLine="555"/>
              <w:rPr>
                <w:rFonts w:hint="eastAsia" w:ascii="宋体" w:hAnsi="宋体" w:eastAsia="宋体" w:cs="Times New Roman"/>
                <w:kern w:val="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CN" w:eastAsia="zh-CN"/>
              </w:rPr>
              <w:t>项目简介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90" w:lineRule="exact"/>
              <w:ind w:firstLine="555"/>
              <w:rPr>
                <w:rFonts w:hint="eastAsia" w:ascii="宋体" w:hAnsi="宋体" w:eastAsia="宋体" w:cs="Times New Roman"/>
                <w:kern w:val="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CN" w:eastAsia="zh-CN"/>
              </w:rPr>
              <w:t>江西天戌药业有限公司于2012年7月由范建兴成立。2015年12月苏州开元民生科技股份有限公司（是一家知名上市公司）控股江西天戌药业有限公司，股份占51%；2017年苏州开元民生科技股份有限公司控股100%，实践强强联合，打造医药产业园的航母。该公司座落在江西省抚州市宜黄县丰厚工业园化工集中区，是一家集研发、生产、销售于一体的高科技医药化学品综合性企业。法人代表：范建兴，企业注册资金：10000万元，企业主要以生产销售医药中间体和其他化工产品为主，主要出口全世界各大市场。本项目于2019年11月20日取得立项批复，总投资7000万元，主要建设利用原有预留车间、原生产车间的空闲位置以及生产厂区的空地安装，不涉及新的建筑工程。项目分期建设，本期工程为四期立项范围内的部分产品的生产装置及环保设施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现场调查人员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熊建江、</w:t>
            </w:r>
            <w:r>
              <w:rPr>
                <w:rFonts w:hint="eastAsia" w:ascii="宋体" w:hAnsi="宋体"/>
                <w:kern w:val="0"/>
              </w:rPr>
              <w:t>吴桂兰</w:t>
            </w:r>
          </w:p>
        </w:tc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时间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2023年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建设单位陪同人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刘虎、汤先峰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</w:rPr>
              <w:t>现场</w:t>
            </w:r>
            <w:r>
              <w:rPr>
                <w:rFonts w:hint="eastAsia" w:ascii="宋体" w:hAnsi="宋体"/>
                <w:b/>
                <w:bCs/>
                <w:kern w:val="0"/>
              </w:rPr>
              <w:t>采样、检测人员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李甜、赵文金、吴桂兰</w:t>
            </w:r>
            <w:r>
              <w:rPr>
                <w:rFonts w:hint="eastAsia" w:ascii="宋体" w:hAnsi="宋体"/>
                <w:kern w:val="0"/>
                <w:lang w:eastAsia="zh-CN"/>
              </w:rPr>
              <w:t>、熊建江</w:t>
            </w:r>
          </w:p>
        </w:tc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时间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2023年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</w:rPr>
              <w:t>日-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建设单位陪同人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刘虎、汤先峰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建设项目存在的职业病危害因素及检测结果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本项目存在的主要职业病危害因素包括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化学有害因素：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盐酸、双氧水、二氯甲烷、</w:t>
            </w: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甲苯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、甲醇、</w:t>
            </w: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浓硫酸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、亚硫酸、二氧化硫、片碱、一氧化碳、硫化氢、氨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物理因素：噪声</w:t>
            </w: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、高温、照度</w:t>
            </w:r>
          </w:p>
          <w:p>
            <w:pPr>
              <w:ind w:firstLine="56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 由现场检测结果可知，建设项目有害物质短时间接触浓度、最高容许浓度、时间加权平均容许浓度符合国家卫生标准要求。</w:t>
            </w:r>
          </w:p>
          <w:p>
            <w:pPr>
              <w:ind w:firstLine="56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② 由现场检测结果可知，建设项目工作岗位噪声检测结果符合国家卫生标准要求。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评价结论及建议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right="-153" w:rightChars="-73" w:firstLine="464" w:firstLineChars="221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通过对</w:t>
            </w: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江西天戌药业有限公司四期技术改造项目</w:t>
            </w:r>
            <w:r>
              <w:rPr>
                <w:rFonts w:hint="eastAsia" w:ascii="宋体" w:hAnsi="宋体" w:eastAsia="宋体" w:cs="Times New Roman"/>
                <w:kern w:val="0"/>
              </w:rPr>
              <w:t>进行工程分析、职业卫生调查、现场职业病危害因素检测，并综合以上总体布局、生产工艺和设备布局、建筑卫生学及辅助用室、职业病防护设施、个人使用的职业病防护用品、应急救援措施、职业健康监护情况、职业卫生管理等的分析评价结果，对其运行期间职业病防护设施控制效果进行综合评价，得出以下结论：</w:t>
            </w:r>
          </w:p>
          <w:p>
            <w:pPr>
              <w:spacing w:line="460" w:lineRule="exact"/>
              <w:ind w:right="-153" w:rightChars="-73" w:firstLine="464" w:firstLineChars="221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kern w:val="0"/>
              </w:rPr>
              <w:t>职业病危害的风险程度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根据《建设项目职业病危害风险分类管理目录(2021年版)》(国卫办职健发2021（5号）规定：根据建设项目可能产生职业病危害的风险程度，将建设项目分为职业病危害一般和严重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个类别。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本项目属于“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C27医药制造业</w:t>
            </w: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”之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C2720化学药品原料药制造</w:t>
            </w: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，结合项目工程分析、职业病危害因素识别、分析、检测及评价结果，认为本项目属于“职业病危害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严重</w:t>
            </w: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”的建设项目。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项目已建部分在设计、施工中，遵循了国家有关建设项目职业病防护设施与主体工程同时设计，同时施工，同时投入生产和使用的原则，采取了相应的职业病危害防护措施，基本符合国家有关法律、法规、标准、规范的要求。如果在运行过程中确保职业病防护设施正常、个体防护到位，严格执行各项职业卫生规章制度，落实本报告提出的整改建议，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能够达到控制工作场所职业病危害、保护工人身体健康的目的</w:t>
            </w:r>
            <w:r>
              <w:rPr>
                <w:rFonts w:hint="eastAsia" w:ascii="宋体" w:hAnsi="宋体" w:eastAsia="宋体" w:cs="Times New Roman"/>
                <w:kern w:val="0"/>
                <w:lang w:val="zh-TW" w:eastAsia="zh-CN"/>
              </w:rPr>
              <w:t>。</w:t>
            </w:r>
          </w:p>
          <w:p>
            <w:pPr>
              <w:ind w:firstLine="56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技术审查专家组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评审意见</w:t>
            </w:r>
          </w:p>
        </w:tc>
        <w:tc>
          <w:tcPr>
            <w:tcW w:w="6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认真讨论，形成以下意见：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1、建设项目概况清晰，可能产生职业病危害因素的工作场所、工艺设备、原辅材料等描述基本准确；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2、职业病防护设施运行情况分析清晰；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3、职业病危害因素检测结果分析基本准确；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4、职业病危害因素检测符合法律、法规和相关标准要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求；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5、职业病危害因素对劳动者健康危害程度分析正确；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6、职业卫生管理机构设置和管理人员配置分析评价合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理；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7、职业卫生管理制度分析评价到位；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8、针对职业健康监护存在的问题提出了建议；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9、事故预防和应急措施具备针对性、可行性；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10、正常生产后建设项目职业病防治效果预期分析正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11、评价结论正确。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12、建议对下列问题修改完善，补充说明：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(1)法律法规要更新，完善编制报告的基础依据；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(2)完善建构筑物一览表；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(3)完善各评价单元工作日写实；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(4)完善职业病防护设施设置及运行情况相关内容；</w:t>
            </w:r>
          </w:p>
          <w:p>
            <w:pPr>
              <w:ind w:firstLine="560"/>
              <w:rPr>
                <w:rFonts w:hint="eastAsia" w:ascii="宋体" w:hAnsi="宋体" w:eastAsia="宋体" w:cs="Times New Roman"/>
                <w:kern w:val="0"/>
                <w:lang w:val="zh-TW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(5)专家其他意见。</w:t>
            </w:r>
          </w:p>
          <w:p>
            <w:pPr>
              <w:ind w:firstLine="56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zh-TW"/>
              </w:rPr>
              <w:t>对存在问题修改完善后，建议《评价报告》通过评审。</w:t>
            </w:r>
          </w:p>
        </w:tc>
      </w:tr>
    </w:tbl>
    <w:p>
      <w:pPr>
        <w:tabs>
          <w:tab w:val="left" w:pos="6840"/>
        </w:tabs>
        <w:spacing w:line="600" w:lineRule="exact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600" w:lineRule="exact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 w:eastAsia="宋体"/>
          <w:kern w:val="0"/>
          <w:lang w:eastAsia="zh-CN"/>
        </w:rPr>
      </w:pPr>
      <w:r>
        <w:rPr>
          <w:rFonts w:hint="eastAsia" w:ascii="宋体" w:hAnsi="宋体" w:eastAsia="宋体"/>
          <w:kern w:val="0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6bf30db1756833584c6a2a794c7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f30db1756833584c6a2a794c75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840"/>
        </w:tabs>
        <w:spacing w:line="600" w:lineRule="exact"/>
        <w:ind w:right="-153" w:rightChars="-73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         </w:t>
      </w:r>
    </w:p>
    <w:p>
      <w:pPr>
        <w:tabs>
          <w:tab w:val="left" w:pos="6840"/>
        </w:tabs>
        <w:spacing w:line="600" w:lineRule="exact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600" w:lineRule="exact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 w:eastAsia="宋体"/>
          <w:kern w:val="0"/>
          <w:lang w:eastAsia="zh-CN"/>
        </w:rPr>
      </w:pPr>
      <w:r>
        <w:rPr>
          <w:rFonts w:hint="eastAsia" w:ascii="宋体" w:hAnsi="宋体"/>
          <w:kern w:val="0"/>
        </w:rPr>
        <w:t xml:space="preserve">      </w:t>
      </w:r>
      <w:r>
        <w:rPr>
          <w:rFonts w:hint="eastAsia" w:ascii="宋体" w:hAnsi="宋体" w:eastAsia="宋体"/>
          <w:kern w:val="0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bf334fc88c6863a22bc558cf0e36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334fc88c6863a22bc558cf0e367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drawing>
          <wp:inline distT="0" distB="0" distL="114300" distR="114300">
            <wp:extent cx="5266690" cy="7019925"/>
            <wp:effectExtent l="0" t="0" r="10160" b="9525"/>
            <wp:docPr id="4" name="图片 4" descr="e047e39a29382e00f4eaad7896e6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47e39a29382e00f4eaad7896e6d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 xml:space="preserve">            </w:t>
      </w: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</w:p>
    <w:p>
      <w:pPr>
        <w:tabs>
          <w:tab w:val="left" w:pos="6840"/>
        </w:tabs>
        <w:spacing w:line="240" w:lineRule="auto"/>
        <w:ind w:right="-153" w:rightChars="-73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</w:t>
      </w:r>
      <w:bookmarkStart w:id="0" w:name="_GoBack"/>
      <w:bookmarkEnd w:id="0"/>
      <w:r>
        <w:rPr>
          <w:rFonts w:hint="eastAsia" w:ascii="宋体" w:hAnsi="宋体"/>
          <w:kern w:val="0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2"/>
      <w:numFmt w:val="decimal"/>
      <w:lvlText w:val="第%1章"/>
      <w:lvlJc w:val="left"/>
      <w:pPr>
        <w:tabs>
          <w:tab w:val="left" w:pos="1275"/>
        </w:tabs>
        <w:ind w:left="1275" w:hanging="127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hMzMzYTgxM2JhMDBiYjllODk4NmY5NDhhYTQ3ZWUifQ=="/>
  </w:docVars>
  <w:rsids>
    <w:rsidRoot w:val="00712171"/>
    <w:rsid w:val="00226195"/>
    <w:rsid w:val="00457941"/>
    <w:rsid w:val="004E08A2"/>
    <w:rsid w:val="00712171"/>
    <w:rsid w:val="008209DA"/>
    <w:rsid w:val="009419F4"/>
    <w:rsid w:val="00986290"/>
    <w:rsid w:val="00A96750"/>
    <w:rsid w:val="00AB0D77"/>
    <w:rsid w:val="00B27FF6"/>
    <w:rsid w:val="00D03AE0"/>
    <w:rsid w:val="00E8501B"/>
    <w:rsid w:val="00FF0A04"/>
    <w:rsid w:val="02C71CAD"/>
    <w:rsid w:val="039817BB"/>
    <w:rsid w:val="1AC01CEF"/>
    <w:rsid w:val="1D590D9A"/>
    <w:rsid w:val="21376C49"/>
    <w:rsid w:val="2CD4495D"/>
    <w:rsid w:val="36300066"/>
    <w:rsid w:val="37C85935"/>
    <w:rsid w:val="3EDD0256"/>
    <w:rsid w:val="5BEB6925"/>
    <w:rsid w:val="5C320B28"/>
    <w:rsid w:val="646C2958"/>
    <w:rsid w:val="6E0515CD"/>
    <w:rsid w:val="79A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25" w:lineRule="atLeast"/>
      <w:outlineLvl w:val="0"/>
    </w:pPr>
    <w:rPr>
      <w:rFonts w:ascii="Times New Roman" w:hAnsi="Times New Roman" w:eastAsia="仿宋_GB2312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60" w:beforeLines="0" w:line="300" w:lineRule="auto"/>
      <w:outlineLvl w:val="1"/>
    </w:pPr>
    <w:rPr>
      <w:rFonts w:ascii="Times New Roman" w:hAnsi="Times New Roman" w:eastAsia="仿宋_GB2312"/>
      <w:b/>
      <w:bCs/>
      <w:smallCaps/>
      <w:sz w:val="28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"/>
    <w:basedOn w:val="3"/>
    <w:autoRedefine/>
    <w:qFormat/>
    <w:uiPriority w:val="0"/>
    <w:pPr>
      <w:adjustRightInd w:val="0"/>
      <w:snapToGrid w:val="0"/>
      <w:spacing w:before="120" w:beforeLines="0" w:after="120" w:afterLines="0" w:line="240" w:lineRule="auto"/>
      <w:textAlignment w:val="baseline"/>
    </w:pPr>
    <w:rPr>
      <w:rFonts w:ascii="Arial" w:hAnsi="Arial" w:eastAsia="宋体" w:cs="宋体"/>
      <w:sz w:val="32"/>
      <w:szCs w:val="32"/>
    </w:rPr>
  </w:style>
  <w:style w:type="paragraph" w:styleId="5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autoRedefine/>
    <w:qFormat/>
    <w:uiPriority w:val="0"/>
    <w:pPr>
      <w:widowControl/>
      <w:spacing w:before="100" w:beforeAutospacing="1" w:after="100" w:afterAutospacing="1" w:line="490" w:lineRule="exact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5"/>
    <w:next w:val="1"/>
    <w:autoRedefine/>
    <w:unhideWhenUsed/>
    <w:qFormat/>
    <w:uiPriority w:val="99"/>
    <w:pPr>
      <w:adjustRightInd w:val="0"/>
      <w:snapToGrid w:val="0"/>
      <w:spacing w:after="120" w:line="520" w:lineRule="exact"/>
      <w:ind w:firstLine="210" w:firstLineChars="0"/>
      <w:textAlignment w:val="baseline"/>
    </w:pPr>
    <w:rPr>
      <w:rFonts w:ascii="黑体" w:hAnsi="Arial" w:eastAsia="黑体" w:cs="Arial"/>
      <w:snapToGrid w:val="0"/>
      <w:kern w:val="0"/>
      <w:sz w:val="24"/>
      <w:szCs w:val="20"/>
    </w:r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页眉 Char"/>
    <w:basedOn w:val="12"/>
    <w:link w:val="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aa正文aa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cs="Arial"/>
      <w:sz w:val="24"/>
    </w:rPr>
  </w:style>
  <w:style w:type="paragraph" w:customStyle="1" w:styleId="18">
    <w:name w:val="样式20"/>
    <w:basedOn w:val="1"/>
    <w:autoRedefine/>
    <w:qFormat/>
    <w:uiPriority w:val="0"/>
    <w:pPr>
      <w:outlineLvl w:val="1"/>
    </w:pPr>
    <w:rPr>
      <w:rFonts w:eastAsia="黑体"/>
      <w:sz w:val="24"/>
      <w:lang w:bidi="ar-SA"/>
    </w:rPr>
  </w:style>
  <w:style w:type="paragraph" w:customStyle="1" w:styleId="19">
    <w:name w:val="Default"/>
    <w:basedOn w:val="20"/>
    <w:next w:val="10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264</Words>
  <Characters>1506</Characters>
  <Lines>12</Lines>
  <Paragraphs>3</Paragraphs>
  <TotalTime>4</TotalTime>
  <ScaleCrop>false</ScaleCrop>
  <LinksUpToDate>false</LinksUpToDate>
  <CharactersWithSpaces>1767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2023-12-27T03:30:00Z</dcterms:created>
  <dc:creator>微软用户</dc:creator>
  <cp:lastModifiedBy>Administrator</cp:lastModifiedBy>
  <dcterms:modified xsi:type="dcterms:W3CDTF">2024-01-23T08:25:33Z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8A99A501F5994F539EFC230AA2A5D153_12</vt:lpwstr>
  </property>
</Properties>
</file>