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260" w:firstLineChars="600"/>
        <w:jc w:val="left"/>
        <w:rPr>
          <w:rFonts w:hint="eastAsia" w:ascii="宋体" w:hAnsi="宋体" w:eastAsia="宋体" w:cs="Times New Roman"/>
          <w:kern w:val="0"/>
        </w:rPr>
      </w:pPr>
      <w:bookmarkStart w:id="0" w:name="_GoBack"/>
      <w:r>
        <w:rPr>
          <w:rFonts w:hint="eastAsia" w:ascii="宋体" w:hAnsi="宋体" w:eastAsia="宋体" w:cs="Times New Roman"/>
          <w:kern w:val="0"/>
        </w:rPr>
        <w:t>中国石化销售股份有限公司</w:t>
      </w:r>
      <w:bookmarkEnd w:id="0"/>
      <w:r>
        <w:rPr>
          <w:rFonts w:hint="eastAsia" w:ascii="宋体" w:hAnsi="宋体" w:eastAsia="宋体" w:cs="Times New Roman"/>
          <w:kern w:val="0"/>
        </w:rPr>
        <w:t>职</w:t>
      </w:r>
      <w:r>
        <w:rPr>
          <w:rFonts w:hint="eastAsia" w:ascii="宋体" w:hAnsi="宋体" w:eastAsia="宋体" w:cs="Times New Roman"/>
          <w:kern w:val="0"/>
        </w:rPr>
        <w:t>业病危害现状评价报告公示</w:t>
      </w:r>
    </w:p>
    <w:tbl>
      <w:tblPr>
        <w:tblStyle w:val="12"/>
        <w:tblW w:w="0" w:type="auto"/>
        <w:tblInd w:w="1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14"/>
        <w:gridCol w:w="2098"/>
        <w:gridCol w:w="634"/>
        <w:gridCol w:w="2112"/>
        <w:gridCol w:w="342"/>
        <w:gridCol w:w="788"/>
        <w:gridCol w:w="121"/>
        <w:gridCol w:w="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1315"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cs="Times New Roman"/>
                <w:kern w:val="0"/>
              </w:rPr>
            </w:pPr>
            <w:r>
              <w:rPr>
                <w:rFonts w:hint="eastAsia" w:ascii="宋体" w:hAnsi="宋体" w:eastAsia="宋体" w:cs="Times New Roman"/>
                <w:b/>
                <w:bCs/>
                <w:kern w:val="0"/>
              </w:rPr>
              <w:t>项目名称</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spacing w:line="600" w:lineRule="exact"/>
              <w:jc w:val="both"/>
              <w:rPr>
                <w:rFonts w:hint="eastAsia" w:ascii="宋体" w:hAnsi="宋体" w:eastAsia="宋体" w:cs="Times New Roman"/>
                <w:kern w:val="0"/>
              </w:rPr>
            </w:pPr>
            <w:r>
              <w:rPr>
                <w:rFonts w:hint="eastAsia" w:ascii="宋体" w:hAnsi="宋体" w:eastAsia="宋体" w:cs="Times New Roman"/>
                <w:kern w:val="0"/>
                <w:lang w:val="en-US" w:eastAsia="zh-CN"/>
              </w:rPr>
              <w:t>江西抚州东乡石油分公司圩上桥加油站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8" w:hRule="atLeast"/>
        </w:trPr>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报告编号</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spacing w:line="600" w:lineRule="exact"/>
              <w:jc w:val="both"/>
              <w:rPr>
                <w:rFonts w:hint="default" w:ascii="宋体" w:hAnsi="宋体" w:eastAsia="宋体" w:cs="Times New Roman"/>
                <w:kern w:val="0"/>
                <w:lang w:val="en-US" w:eastAsia="zh-CN"/>
              </w:rPr>
            </w:pPr>
            <w:r>
              <w:rPr>
                <w:rFonts w:hint="eastAsia" w:ascii="宋体" w:hAnsi="宋体" w:eastAsia="宋体" w:cs="Times New Roman"/>
                <w:kern w:val="0"/>
              </w:rPr>
              <w:t>京华评字</w:t>
            </w:r>
            <w:r>
              <w:rPr>
                <w:rFonts w:hint="eastAsia" w:ascii="宋体" w:hAnsi="宋体" w:eastAsia="宋体" w:cs="Times New Roman"/>
                <w:kern w:val="0"/>
              </w:rPr>
              <w:t>KP</w:t>
            </w:r>
            <w:r>
              <w:rPr>
                <w:rFonts w:hint="eastAsia" w:ascii="宋体" w:hAnsi="宋体" w:eastAsia="宋体" w:cs="Times New Roman"/>
                <w:kern w:val="0"/>
                <w:lang w:val="en-US" w:eastAsia="zh-CN"/>
              </w:rPr>
              <w:t>2023-002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eastAsia="宋体" w:cs="Times New Roman"/>
                <w:kern w:val="0"/>
              </w:rPr>
              <w:t>中国石化销售股份有限公司</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地理位置</w:t>
            </w:r>
          </w:p>
        </w:tc>
        <w:tc>
          <w:tcPr>
            <w:tcW w:w="2456"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eastAsia="宋体" w:cs="Times New Roman"/>
                <w:kern w:val="0"/>
                <w:lang w:eastAsia="zh-CN"/>
              </w:rPr>
              <w:t>江西省抚州市东乡区圩上桥镇前贡村，961县道南侧</w:t>
            </w:r>
          </w:p>
        </w:tc>
        <w:tc>
          <w:tcPr>
            <w:tcW w:w="910"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联系人</w:t>
            </w:r>
          </w:p>
        </w:tc>
        <w:tc>
          <w:tcPr>
            <w:tcW w:w="771"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kern w:val="0"/>
                <w:lang w:val="en-US" w:eastAsia="zh-CN"/>
              </w:rPr>
            </w:pPr>
            <w:r>
              <w:rPr>
                <w:rFonts w:hint="eastAsia" w:ascii="宋体" w:hAnsi="宋体"/>
                <w:kern w:val="0"/>
                <w:lang w:val="en-US" w:eastAsia="zh-CN"/>
              </w:rPr>
              <w:t>宋沫婷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项目简介</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widowControl/>
              <w:ind w:firstLine="420" w:firstLineChars="200"/>
              <w:jc w:val="left"/>
              <w:rPr>
                <w:rFonts w:hint="eastAsia" w:ascii="宋体" w:hAnsi="宋体" w:eastAsia="宋体" w:cs="Times New Roman"/>
                <w:kern w:val="0"/>
              </w:rPr>
            </w:pPr>
            <w:r>
              <w:rPr>
                <w:rFonts w:hint="eastAsia" w:ascii="宋体" w:hAnsi="宋体" w:eastAsia="宋体" w:cs="Times New Roman"/>
                <w:kern w:val="0"/>
              </w:rPr>
              <w:t>中国石化销售股份有限公司江西抚州东乡石油分公司</w:t>
            </w:r>
            <w:r>
              <w:rPr>
                <w:rFonts w:hint="eastAsia" w:ascii="宋体" w:hAnsi="宋体" w:eastAsia="宋体" w:cs="Times New Roman"/>
                <w:kern w:val="0"/>
                <w:lang w:eastAsia="zh-CN"/>
              </w:rPr>
              <w:t>圩上桥加油站建设地址为江西省抚州市东乡区圩上桥镇前贡村，961县道南侧</w:t>
            </w:r>
            <w:r>
              <w:rPr>
                <w:rFonts w:hint="eastAsia" w:ascii="宋体" w:hAnsi="宋体" w:eastAsia="宋体" w:cs="Times New Roman"/>
                <w:kern w:val="0"/>
              </w:rPr>
              <w:t>。该加油站为</w:t>
            </w:r>
            <w:r>
              <w:rPr>
                <w:rFonts w:hint="eastAsia" w:ascii="宋体" w:hAnsi="宋体" w:eastAsia="宋体" w:cs="Times New Roman"/>
                <w:kern w:val="0"/>
                <w:lang w:eastAsia="zh-CN"/>
              </w:rPr>
              <w:t>新建</w:t>
            </w:r>
            <w:r>
              <w:rPr>
                <w:rFonts w:hint="eastAsia" w:ascii="宋体" w:hAnsi="宋体" w:eastAsia="宋体" w:cs="Times New Roman"/>
                <w:kern w:val="0"/>
              </w:rPr>
              <w:t>项目。该加油站经营汽油、柴油，主要面对附近的汽车等来往车辆。</w:t>
            </w:r>
          </w:p>
          <w:p>
            <w:pPr>
              <w:widowControl/>
              <w:jc w:val="left"/>
              <w:rPr>
                <w:rFonts w:ascii="宋体" w:hAnsi="宋体"/>
                <w:kern w:val="0"/>
              </w:rPr>
            </w:pPr>
            <w:r>
              <w:rPr>
                <w:rFonts w:hint="eastAsia" w:ascii="宋体" w:hAnsi="宋体" w:eastAsia="宋体" w:cs="Times New Roman"/>
                <w:kern w:val="0"/>
                <w:lang w:eastAsia="zh-CN"/>
              </w:rPr>
              <w:t>该加油站设卧式埋地油品储罐</w:t>
            </w:r>
            <w:r>
              <w:rPr>
                <w:rFonts w:hint="eastAsia" w:ascii="宋体" w:hAnsi="宋体" w:eastAsia="宋体" w:cs="Times New Roman"/>
                <w:kern w:val="0"/>
                <w:lang w:val="en-US" w:eastAsia="zh-CN"/>
              </w:rPr>
              <w:t>4</w:t>
            </w:r>
            <w:r>
              <w:rPr>
                <w:rFonts w:hint="eastAsia" w:ascii="宋体" w:hAnsi="宋体" w:eastAsia="宋体" w:cs="Times New Roman"/>
                <w:kern w:val="0"/>
                <w:lang w:eastAsia="zh-CN"/>
              </w:rPr>
              <w:t>台，30m³汽油储罐</w:t>
            </w:r>
            <w:r>
              <w:rPr>
                <w:rFonts w:hint="eastAsia" w:ascii="宋体" w:hAnsi="宋体" w:eastAsia="宋体" w:cs="Times New Roman"/>
                <w:kern w:val="0"/>
                <w:lang w:val="en-US" w:eastAsia="zh-CN"/>
              </w:rPr>
              <w:t>3</w:t>
            </w:r>
            <w:r>
              <w:rPr>
                <w:rFonts w:hint="eastAsia" w:ascii="宋体" w:hAnsi="宋体" w:eastAsia="宋体" w:cs="Times New Roman"/>
                <w:kern w:val="0"/>
                <w:lang w:eastAsia="zh-CN"/>
              </w:rPr>
              <w:t>台，30m³柴油储罐1台，总容积为</w:t>
            </w:r>
            <w:r>
              <w:rPr>
                <w:rFonts w:hint="eastAsia" w:ascii="宋体" w:hAnsi="宋体" w:eastAsia="宋体" w:cs="Times New Roman"/>
                <w:kern w:val="0"/>
                <w:lang w:val="en-US" w:eastAsia="zh-CN"/>
              </w:rPr>
              <w:t>120</w:t>
            </w:r>
            <w:r>
              <w:rPr>
                <w:rFonts w:hint="eastAsia" w:ascii="宋体" w:hAnsi="宋体" w:eastAsia="宋体" w:cs="Times New Roman"/>
                <w:kern w:val="0"/>
                <w:lang w:eastAsia="zh-CN"/>
              </w:rPr>
              <w:t>m³，柴油罐容积折半计入油罐总容积为</w:t>
            </w:r>
            <w:r>
              <w:rPr>
                <w:rFonts w:hint="eastAsia" w:ascii="宋体" w:hAnsi="宋体" w:eastAsia="宋体" w:cs="Times New Roman"/>
                <w:kern w:val="0"/>
                <w:lang w:val="en-US" w:eastAsia="zh-CN"/>
              </w:rPr>
              <w:t>10</w:t>
            </w:r>
            <w:r>
              <w:rPr>
                <w:rFonts w:hint="eastAsia" w:ascii="宋体" w:hAnsi="宋体" w:eastAsia="宋体" w:cs="Times New Roman"/>
                <w:kern w:val="0"/>
                <w:lang w:eastAsia="zh-CN"/>
              </w:rPr>
              <w:t>5m³，属二级加油站。</w:t>
            </w:r>
            <w:r>
              <w:rPr>
                <w:rFonts w:hint="eastAsia" w:ascii="宋体" w:hAnsi="宋体" w:eastAsia="宋体" w:cs="Times New Roman"/>
                <w:kern w:val="0"/>
                <w:lang w:val="en-US" w:eastAsia="zh-CN"/>
              </w:rPr>
              <w:t>设</w:t>
            </w:r>
            <w:r>
              <w:rPr>
                <w:rFonts w:hint="eastAsia" w:ascii="宋体" w:hAnsi="宋体" w:eastAsia="宋体" w:cs="Times New Roman"/>
                <w:kern w:val="0"/>
                <w:lang w:eastAsia="zh-CN"/>
              </w:rPr>
              <w:t>4台四枪四油品加油机</w:t>
            </w:r>
            <w:r>
              <w:rPr>
                <w:rFonts w:hint="eastAsia" w:ascii="宋体" w:hAnsi="宋体" w:eastAsia="宋体" w:cs="Times New Roman"/>
                <w:kern w:val="0"/>
              </w:rPr>
              <w:t>。站内设置有汽车充电区，设置4个充电桩和一台箱式变压器。</w:t>
            </w:r>
            <w:r>
              <w:rPr>
                <w:rFonts w:hint="eastAsia" w:ascii="宋体" w:hAnsi="宋体" w:eastAsia="宋体" w:cs="Times New Roman"/>
                <w:kern w:val="0"/>
                <w:lang w:val="en-US" w:eastAsia="zh-CN"/>
              </w:rPr>
              <w:t>所有设备和建筑物均为新建新购；</w:t>
            </w:r>
            <w:r>
              <w:rPr>
                <w:rFonts w:hint="eastAsia" w:ascii="宋体" w:hAnsi="宋体" w:eastAsia="宋体" w:cs="Times New Roman"/>
                <w:kern w:val="0"/>
              </w:rPr>
              <w:t>建成后全年全天不间断营业。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现场调查人员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lang w:eastAsia="zh-CN"/>
              </w:rPr>
              <w:t>熊建江、赵文金</w:t>
            </w:r>
            <w:r>
              <w:rPr>
                <w:rFonts w:hint="eastAsia" w:ascii="宋体" w:hAnsi="宋体"/>
                <w:kern w:val="0"/>
              </w:rPr>
              <w:t xml:space="preserve"> </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w:t>
            </w:r>
            <w:r>
              <w:rPr>
                <w:rFonts w:hint="eastAsia" w:ascii="宋体" w:hAnsi="宋体"/>
                <w:kern w:val="0"/>
                <w:lang w:val="en-US" w:eastAsia="zh-CN"/>
              </w:rPr>
              <w:t>3</w:t>
            </w:r>
            <w:r>
              <w:rPr>
                <w:rFonts w:hint="eastAsia" w:ascii="宋体" w:hAnsi="宋体"/>
                <w:kern w:val="0"/>
              </w:rPr>
              <w:t>年</w:t>
            </w:r>
            <w:r>
              <w:rPr>
                <w:rFonts w:hint="eastAsia" w:ascii="宋体" w:hAnsi="宋体"/>
                <w:kern w:val="0"/>
                <w:lang w:val="en-US" w:eastAsia="zh-CN"/>
              </w:rPr>
              <w:t>3</w:t>
            </w:r>
            <w:r>
              <w:rPr>
                <w:rFonts w:hint="eastAsia" w:ascii="宋体" w:hAnsi="宋体"/>
                <w:kern w:val="0"/>
              </w:rPr>
              <w:t>月</w:t>
            </w:r>
            <w:r>
              <w:rPr>
                <w:rFonts w:hint="eastAsia" w:ascii="宋体" w:hAnsi="宋体"/>
                <w:kern w:val="0"/>
                <w:lang w:val="en-US" w:eastAsia="zh-CN"/>
              </w:rPr>
              <w:t>3</w:t>
            </w:r>
            <w:r>
              <w:rPr>
                <w:rFonts w:hint="eastAsia" w:ascii="宋体" w:hAnsi="宋体"/>
                <w:kern w:val="0"/>
              </w:rPr>
              <w:t>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kern w:val="0"/>
                <w:lang w:val="en-US" w:eastAsia="zh-CN"/>
              </w:rPr>
            </w:pPr>
            <w:r>
              <w:rPr>
                <w:rFonts w:hint="eastAsia" w:ascii="宋体" w:hAnsi="宋体"/>
                <w:kern w:val="0"/>
                <w:lang w:val="en-US" w:eastAsia="zh-CN"/>
              </w:rPr>
              <w:t>宋沫婷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color w:val="333333"/>
                <w:kern w:val="0"/>
              </w:rPr>
              <w:t>现场</w:t>
            </w:r>
            <w:r>
              <w:rPr>
                <w:rFonts w:hint="eastAsia" w:ascii="宋体" w:hAnsi="宋体"/>
                <w:b/>
                <w:bCs/>
                <w:kern w:val="0"/>
              </w:rPr>
              <w:t>采样、检测人员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kern w:val="0"/>
                <w:lang w:eastAsia="zh-CN"/>
              </w:rPr>
            </w:pPr>
            <w:r>
              <w:rPr>
                <w:rFonts w:hint="eastAsia" w:ascii="宋体" w:hAnsi="宋体"/>
                <w:kern w:val="0"/>
                <w:lang w:eastAsia="zh-CN"/>
              </w:rPr>
              <w:t>熊建江、</w:t>
            </w:r>
            <w:r>
              <w:rPr>
                <w:rFonts w:hint="eastAsia" w:ascii="宋体" w:hAnsi="宋体"/>
                <w:kern w:val="0"/>
                <w:lang w:eastAsia="zh-CN"/>
              </w:rPr>
              <w:t>赵文金</w:t>
            </w:r>
            <w:r>
              <w:rPr>
                <w:rFonts w:hint="eastAsia" w:ascii="宋体" w:hAnsi="宋体"/>
                <w:kern w:val="0"/>
              </w:rPr>
              <w:t xml:space="preserve"> </w:t>
            </w:r>
            <w:r>
              <w:rPr>
                <w:rFonts w:hint="eastAsia" w:ascii="宋体" w:hAnsi="宋体"/>
                <w:kern w:val="0"/>
              </w:rPr>
              <w:t xml:space="preserve"> </w:t>
            </w:r>
            <w:r>
              <w:rPr>
                <w:rFonts w:hint="eastAsia" w:ascii="宋体" w:hAnsi="宋体"/>
                <w:kern w:val="0"/>
                <w:lang w:eastAsia="zh-CN"/>
              </w:rPr>
              <w:t>、饶帆</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2023年</w:t>
            </w:r>
            <w:r>
              <w:rPr>
                <w:rFonts w:hint="eastAsia" w:ascii="宋体" w:hAnsi="宋体"/>
                <w:kern w:val="0"/>
                <w:lang w:val="en-US" w:eastAsia="zh-CN"/>
              </w:rPr>
              <w:t>3</w:t>
            </w:r>
            <w:r>
              <w:rPr>
                <w:rFonts w:hint="eastAsia" w:ascii="宋体" w:hAnsi="宋体"/>
                <w:kern w:val="0"/>
              </w:rPr>
              <w:t>月</w:t>
            </w:r>
            <w:r>
              <w:rPr>
                <w:rFonts w:hint="eastAsia" w:ascii="宋体" w:hAnsi="宋体"/>
                <w:kern w:val="0"/>
                <w:lang w:val="en-US" w:eastAsia="zh-CN"/>
              </w:rPr>
              <w:t>6</w:t>
            </w:r>
            <w:r>
              <w:rPr>
                <w:rFonts w:hint="eastAsia" w:ascii="宋体" w:hAnsi="宋体"/>
                <w:kern w:val="0"/>
              </w:rPr>
              <w:t>日-</w:t>
            </w:r>
            <w:r>
              <w:rPr>
                <w:rFonts w:hint="eastAsia" w:ascii="宋体" w:hAnsi="宋体"/>
                <w:kern w:val="0"/>
                <w:lang w:val="en-US" w:eastAsia="zh-CN"/>
              </w:rPr>
              <w:t>3</w:t>
            </w:r>
            <w:r>
              <w:rPr>
                <w:rFonts w:hint="eastAsia" w:ascii="宋体" w:hAnsi="宋体"/>
                <w:kern w:val="0"/>
              </w:rPr>
              <w:t>月</w:t>
            </w:r>
            <w:r>
              <w:rPr>
                <w:rFonts w:hint="eastAsia" w:ascii="宋体" w:hAnsi="宋体"/>
                <w:kern w:val="0"/>
                <w:lang w:val="en-US" w:eastAsia="zh-CN"/>
              </w:rPr>
              <w:t>9</w:t>
            </w:r>
            <w:r>
              <w:rPr>
                <w:rFonts w:hint="eastAsia" w:ascii="宋体" w:hAnsi="宋体"/>
                <w:kern w:val="0"/>
              </w:rPr>
              <w:t>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lang w:val="en-US" w:eastAsia="zh-CN"/>
              </w:rPr>
              <w:t>宋沫婷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建设项目存在的职业病危害因素及检测结果</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本项目存在的主要职业病危害因素包括</w:t>
            </w:r>
          </w:p>
          <w:p>
            <w:pPr>
              <w:ind w:firstLine="560"/>
              <w:rPr>
                <w:rFonts w:hint="eastAsia" w:ascii="仿宋_GB2312" w:hAnsi="仿宋_GB2312" w:eastAsia="仿宋_GB2312" w:cs="仿宋_GB2312"/>
                <w:color w:val="000000"/>
                <w:sz w:val="24"/>
                <w:szCs w:val="24"/>
                <w:lang w:val="en-US" w:eastAsia="zh-CN"/>
              </w:rPr>
            </w:pPr>
            <w:r>
              <w:rPr>
                <w:rFonts w:hint="eastAsia" w:ascii="宋体" w:hAnsi="宋体" w:eastAsia="宋体" w:cs="Times New Roman"/>
                <w:kern w:val="0"/>
              </w:rPr>
              <w:t>化学有害因素：</w:t>
            </w:r>
            <w:r>
              <w:rPr>
                <w:rFonts w:hint="eastAsia" w:ascii="仿宋_GB2312" w:hAnsi="仿宋_GB2312" w:eastAsia="仿宋_GB2312" w:cs="仿宋_GB2312"/>
                <w:color w:val="000000"/>
                <w:sz w:val="24"/>
                <w:szCs w:val="24"/>
                <w:lang w:val="en-US" w:eastAsia="zh-CN"/>
              </w:rPr>
              <w:t>苯、正己烷</w:t>
            </w:r>
          </w:p>
          <w:p>
            <w:pPr>
              <w:ind w:firstLine="560"/>
              <w:rPr>
                <w:rFonts w:hint="eastAsia" w:ascii="宋体" w:hAnsi="宋体" w:eastAsia="宋体" w:cs="Times New Roman"/>
                <w:kern w:val="0"/>
                <w:lang w:eastAsia="zh-CN"/>
              </w:rPr>
            </w:pPr>
            <w:r>
              <w:rPr>
                <w:rFonts w:hint="eastAsia" w:ascii="宋体" w:hAnsi="宋体" w:eastAsia="宋体" w:cs="Times New Roman"/>
                <w:kern w:val="0"/>
              </w:rPr>
              <w:t>物理因素：噪声</w:t>
            </w:r>
            <w:r>
              <w:rPr>
                <w:rFonts w:hint="eastAsia" w:ascii="宋体" w:hAnsi="宋体" w:eastAsia="宋体" w:cs="Times New Roman"/>
                <w:kern w:val="0"/>
                <w:lang w:eastAsia="zh-CN"/>
              </w:rPr>
              <w:t>、</w:t>
            </w:r>
            <w:r>
              <w:rPr>
                <w:rFonts w:hint="eastAsia" w:ascii="宋体" w:hAnsi="宋体" w:eastAsia="宋体" w:cs="Times New Roman"/>
                <w:kern w:val="0"/>
              </w:rPr>
              <w:t>高温</w:t>
            </w:r>
          </w:p>
          <w:p>
            <w:pPr>
              <w:ind w:firstLine="560"/>
              <w:rPr>
                <w:rFonts w:ascii="宋体" w:hAnsi="宋体"/>
                <w:kern w:val="0"/>
              </w:rPr>
            </w:pPr>
            <w:r>
              <w:rPr>
                <w:rFonts w:hint="eastAsia" w:ascii="宋体" w:hAnsi="宋体"/>
                <w:kern w:val="0"/>
              </w:rPr>
              <w:t>① 由现场检测结果可知，建设项目有害物质短时间接触浓度、最高容许浓度、时间加权平均容许浓度符合国家卫生标准要求。</w:t>
            </w:r>
          </w:p>
          <w:p>
            <w:pPr>
              <w:ind w:firstLine="560"/>
              <w:rPr>
                <w:rFonts w:ascii="宋体" w:hAnsi="宋体"/>
                <w:kern w:val="0"/>
              </w:rPr>
            </w:pPr>
            <w:r>
              <w:rPr>
                <w:rFonts w:hint="eastAsia" w:ascii="宋体" w:hAnsi="宋体"/>
                <w:kern w:val="0"/>
              </w:rPr>
              <w:t>② 由现场检测结果可知，建设项目工作岗位噪声检测结果符合国家卫生标准要求。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评价结论及建议</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hint="eastAsia" w:ascii="宋体" w:hAnsi="宋体" w:eastAsia="宋体" w:cs="Times New Roman"/>
                <w:kern w:val="0"/>
              </w:rPr>
            </w:pPr>
            <w:r>
              <w:rPr>
                <w:rFonts w:hint="eastAsia" w:ascii="宋体" w:hAnsi="宋体" w:eastAsia="宋体" w:cs="Times New Roman"/>
                <w:kern w:val="0"/>
              </w:rPr>
              <w:t>通过对中国石化销售股份有限公司</w:t>
            </w:r>
            <w:r>
              <w:rPr>
                <w:rFonts w:hint="eastAsia" w:ascii="宋体" w:hAnsi="宋体" w:eastAsia="宋体" w:cs="Times New Roman"/>
                <w:kern w:val="0"/>
                <w:lang w:eastAsia="zh-CN"/>
              </w:rPr>
              <w:t>江西抚州东乡石油分公司圩上桥加油站</w:t>
            </w:r>
            <w:r>
              <w:rPr>
                <w:rFonts w:hint="eastAsia" w:ascii="宋体" w:hAnsi="宋体" w:eastAsia="宋体" w:cs="Times New Roman"/>
                <w:kern w:val="0"/>
              </w:rPr>
              <w:t>项目进行工程分析、职业卫生调查、现场职业病危害因素检测，并综合以上总体布局、生产工艺和设备布局、建筑卫生学及辅助用室、职业病防护设施、个人使用的职业病防护用品、应急救援措施、职业健康监护情况、职业卫生管理等的分析评价结果，对其运行期间职业病防护设施控制效果进行综合评价，得出以下结论：</w:t>
            </w:r>
          </w:p>
          <w:p>
            <w:pPr>
              <w:ind w:firstLine="560"/>
              <w:rPr>
                <w:rFonts w:hint="eastAsia" w:ascii="宋体" w:hAnsi="宋体" w:eastAsia="宋体" w:cs="Times New Roman"/>
                <w:kern w:val="0"/>
              </w:rPr>
            </w:pPr>
            <w:r>
              <w:rPr>
                <w:rFonts w:hint="eastAsia" w:ascii="宋体" w:hAnsi="宋体" w:eastAsia="宋体" w:cs="Times New Roman"/>
                <w:kern w:val="0"/>
              </w:rPr>
              <w:t>（1）职业病危害因素及危害类别</w:t>
            </w:r>
          </w:p>
          <w:p>
            <w:pPr>
              <w:ind w:firstLine="560"/>
              <w:rPr>
                <w:rFonts w:hint="eastAsia" w:ascii="宋体" w:hAnsi="宋体" w:eastAsia="宋体" w:cs="Times New Roman"/>
                <w:kern w:val="0"/>
              </w:rPr>
            </w:pPr>
            <w:r>
              <w:rPr>
                <w:rFonts w:hint="eastAsia" w:ascii="宋体" w:hAnsi="宋体" w:eastAsia="宋体" w:cs="Times New Roman"/>
                <w:kern w:val="0"/>
              </w:rPr>
              <w:t>本项目存在的主要职业病危害因素包括：化学有害因素（</w:t>
            </w:r>
            <w:r>
              <w:rPr>
                <w:rFonts w:hint="eastAsia" w:ascii="宋体" w:hAnsi="宋体" w:eastAsia="宋体" w:cs="Times New Roman"/>
                <w:kern w:val="0"/>
                <w:lang w:eastAsia="zh-CN"/>
              </w:rPr>
              <w:t>苯</w:t>
            </w:r>
            <w:r>
              <w:rPr>
                <w:rFonts w:hint="eastAsia" w:ascii="宋体" w:hAnsi="宋体" w:eastAsia="宋体" w:cs="Times New Roman"/>
                <w:kern w:val="0"/>
              </w:rPr>
              <w:t>、</w:t>
            </w:r>
            <w:r>
              <w:rPr>
                <w:rFonts w:hint="eastAsia" w:ascii="宋体" w:hAnsi="宋体" w:eastAsia="宋体" w:cs="Times New Roman"/>
                <w:kern w:val="0"/>
                <w:lang w:val="en-US" w:eastAsia="zh-CN"/>
              </w:rPr>
              <w:t>正己烷</w:t>
            </w:r>
            <w:r>
              <w:rPr>
                <w:rFonts w:hint="eastAsia" w:ascii="宋体" w:hAnsi="宋体" w:eastAsia="宋体" w:cs="Times New Roman"/>
                <w:kern w:val="0"/>
              </w:rPr>
              <w:t>）</w:t>
            </w:r>
            <w:r>
              <w:rPr>
                <w:rFonts w:hint="eastAsia" w:ascii="宋体" w:hAnsi="宋体" w:eastAsia="宋体" w:cs="Times New Roman"/>
                <w:kern w:val="0"/>
                <w:lang w:val="en-GB"/>
              </w:rPr>
              <w:t>，物理因素（噪声）。</w:t>
            </w:r>
          </w:p>
          <w:p>
            <w:pPr>
              <w:ind w:firstLine="560"/>
              <w:rPr>
                <w:rFonts w:hint="eastAsia" w:ascii="宋体" w:hAnsi="宋体" w:eastAsia="宋体" w:cs="Times New Roman"/>
                <w:kern w:val="0"/>
              </w:rPr>
            </w:pPr>
            <w:r>
              <w:rPr>
                <w:rFonts w:hint="eastAsia" w:ascii="宋体" w:hAnsi="宋体" w:eastAsia="宋体" w:cs="Times New Roman"/>
                <w:kern w:val="0"/>
              </w:rPr>
              <w:t>工作场所职业病危害因素检测结果提示，所有检测点化学有害因素</w:t>
            </w:r>
            <w:r>
              <w:rPr>
                <w:rFonts w:hint="eastAsia" w:ascii="宋体" w:hAnsi="宋体" w:eastAsia="宋体" w:cs="Times New Roman"/>
                <w:kern w:val="0"/>
                <w:lang w:eastAsia="zh-CN"/>
              </w:rPr>
              <w:t>和物理因素检测结果</w:t>
            </w:r>
            <w:r>
              <w:rPr>
                <w:rFonts w:hint="eastAsia" w:ascii="宋体" w:hAnsi="宋体" w:eastAsia="宋体" w:cs="Times New Roman"/>
                <w:kern w:val="0"/>
              </w:rPr>
              <w:t>均符合职业接触限值。</w:t>
            </w:r>
          </w:p>
          <w:p>
            <w:pPr>
              <w:ind w:firstLine="560"/>
              <w:rPr>
                <w:rFonts w:ascii="宋体" w:hAnsi="宋体"/>
                <w:kern w:val="0"/>
              </w:rPr>
            </w:pPr>
            <w:r>
              <w:rPr>
                <w:rFonts w:hint="eastAsia" w:ascii="宋体" w:hAnsi="宋体" w:eastAsia="宋体" w:cs="Times New Roman"/>
                <w:kern w:val="0"/>
              </w:rPr>
              <w:t>本项目属于</w:t>
            </w:r>
            <w:r>
              <w:rPr>
                <w:rFonts w:hint="eastAsia" w:ascii="宋体" w:hAnsi="宋体" w:eastAsia="宋体" w:cs="Times New Roman"/>
                <w:kern w:val="0"/>
                <w:lang w:eastAsia="zh-CN"/>
              </w:rPr>
              <w:t>零售业</w:t>
            </w:r>
            <w:r>
              <w:rPr>
                <w:rFonts w:hint="eastAsia" w:ascii="宋体" w:hAnsi="宋体" w:eastAsia="宋体" w:cs="Times New Roman"/>
                <w:kern w:val="0"/>
              </w:rPr>
              <w:t>中</w:t>
            </w:r>
            <w:r>
              <w:rPr>
                <w:rFonts w:hint="eastAsia" w:ascii="宋体" w:hAnsi="宋体" w:eastAsia="宋体" w:cs="Times New Roman"/>
                <w:kern w:val="0"/>
                <w:lang w:eastAsia="zh-CN"/>
              </w:rPr>
              <w:t>机动车燃油零售</w:t>
            </w:r>
            <w:r>
              <w:rPr>
                <w:rFonts w:hint="eastAsia" w:ascii="宋体" w:hAnsi="宋体" w:eastAsia="宋体" w:cs="Times New Roman"/>
                <w:kern w:val="0"/>
              </w:rPr>
              <w:t>，根据</w:t>
            </w:r>
            <w:r>
              <w:rPr>
                <w:rFonts w:hint="eastAsia" w:ascii="宋体" w:hAnsi="宋体" w:eastAsia="宋体" w:cs="Times New Roman"/>
                <w:kern w:val="0"/>
                <w:lang w:val="zh-CN" w:eastAsia="zh-CN"/>
              </w:rPr>
              <w:t>《</w:t>
            </w:r>
            <w:r>
              <w:rPr>
                <w:rFonts w:hint="eastAsia" w:ascii="宋体" w:hAnsi="宋体" w:eastAsia="宋体" w:cs="Times New Roman"/>
                <w:kern w:val="0"/>
              </w:rPr>
              <w:t>建设项目职业病危害风险分类管理目录(20</w:t>
            </w:r>
            <w:r>
              <w:rPr>
                <w:rFonts w:hint="eastAsia" w:ascii="宋体" w:hAnsi="宋体" w:eastAsia="宋体" w:cs="Times New Roman"/>
                <w:kern w:val="0"/>
                <w:lang w:val="en-US" w:eastAsia="zh-CN"/>
              </w:rPr>
              <w:t>21</w:t>
            </w:r>
            <w:r>
              <w:rPr>
                <w:rFonts w:hint="eastAsia" w:ascii="宋体" w:hAnsi="宋体" w:eastAsia="宋体" w:cs="Times New Roman"/>
                <w:kern w:val="0"/>
              </w:rPr>
              <w:t>年版)</w:t>
            </w:r>
            <w:r>
              <w:rPr>
                <w:rFonts w:hint="eastAsia" w:ascii="宋体" w:hAnsi="宋体" w:eastAsia="宋体" w:cs="Times New Roman"/>
                <w:kern w:val="0"/>
                <w:lang w:val="zh-CN" w:eastAsia="zh-CN"/>
              </w:rPr>
              <w:t>》</w:t>
            </w:r>
            <w:r>
              <w:rPr>
                <w:rFonts w:hint="eastAsia" w:ascii="宋体" w:hAnsi="宋体" w:eastAsia="宋体" w:cs="Times New Roman"/>
                <w:kern w:val="0"/>
                <w:lang w:val="en-US" w:eastAsia="zh-CN"/>
              </w:rPr>
              <w:t>国卫办职健发</w:t>
            </w:r>
            <w:r>
              <w:rPr>
                <w:rFonts w:hint="eastAsia" w:ascii="宋体" w:hAnsi="宋体" w:eastAsia="宋体" w:cs="Times New Roman"/>
                <w:kern w:val="0"/>
              </w:rPr>
              <w:t>20</w:t>
            </w:r>
            <w:r>
              <w:rPr>
                <w:rFonts w:hint="eastAsia" w:ascii="宋体" w:hAnsi="宋体" w:eastAsia="宋体" w:cs="Times New Roman"/>
                <w:kern w:val="0"/>
                <w:lang w:val="en-US" w:eastAsia="zh-CN"/>
              </w:rPr>
              <w:t>21（5号）</w:t>
            </w:r>
            <w:r>
              <w:rPr>
                <w:rFonts w:hint="eastAsia" w:ascii="宋体" w:hAnsi="宋体" w:eastAsia="宋体" w:cs="Times New Roman"/>
                <w:kern w:val="0"/>
              </w:rPr>
              <w:t>，结合项目工程分析、职业病危害因素识别、分析、检测及评价结果，认为本项目属于“职业病危害</w:t>
            </w:r>
            <w:r>
              <w:rPr>
                <w:rFonts w:hint="eastAsia" w:ascii="宋体" w:hAnsi="宋体" w:eastAsia="宋体" w:cs="Times New Roman"/>
                <w:kern w:val="0"/>
                <w:lang w:eastAsia="zh-CN"/>
              </w:rPr>
              <w:t>一般</w:t>
            </w:r>
            <w:r>
              <w:rPr>
                <w:rFonts w:hint="eastAsia" w:ascii="宋体" w:hAnsi="宋体" w:eastAsia="宋体" w:cs="Times New Roman"/>
                <w:kern w:val="0"/>
              </w:rPr>
              <w:t>”的建设项目。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技术审查专家组</w:t>
            </w:r>
          </w:p>
          <w:p>
            <w:pPr>
              <w:widowControl/>
              <w:jc w:val="center"/>
              <w:rPr>
                <w:rFonts w:ascii="宋体" w:hAnsi="宋体"/>
                <w:kern w:val="0"/>
              </w:rPr>
            </w:pPr>
            <w:r>
              <w:rPr>
                <w:rFonts w:hint="eastAsia" w:ascii="宋体" w:hAnsi="宋体"/>
                <w:b/>
                <w:bCs/>
                <w:kern w:val="0"/>
              </w:rPr>
              <w:t>评审意见</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hint="eastAsia" w:ascii="宋体" w:hAnsi="宋体" w:eastAsia="宋体" w:cs="Times New Roman"/>
                <w:kern w:val="0"/>
              </w:rPr>
            </w:pPr>
            <w:r>
              <w:rPr>
                <w:rFonts w:hint="eastAsia" w:ascii="宋体" w:hAnsi="宋体" w:eastAsia="宋体" w:cs="Times New Roman"/>
                <w:kern w:val="0"/>
              </w:rPr>
              <w:t>项目已建部分在设计、施工中，遵循了国家有关建设项目职业病防护设施与主体工程同时设计，同时施工，同时投入生产和使用的原则，采取了相应的职业病危害防护措施，基本符合国家有关法律、法规、标准、规范的要求。如果在运行过程中确保职业病防护设施正常、个体防护到位，严格执行各项职业卫生规章制度，落实本报告提出的</w:t>
            </w:r>
            <w:r>
              <w:rPr>
                <w:rFonts w:hint="eastAsia" w:ascii="宋体" w:hAnsi="宋体" w:eastAsia="宋体" w:cs="Times New Roman"/>
                <w:kern w:val="0"/>
                <w:lang w:eastAsia="zh-CN"/>
              </w:rPr>
              <w:t>整改</w:t>
            </w:r>
            <w:r>
              <w:rPr>
                <w:rFonts w:hint="eastAsia" w:ascii="宋体" w:hAnsi="宋体" w:eastAsia="宋体" w:cs="Times New Roman"/>
                <w:kern w:val="0"/>
              </w:rPr>
              <w:t>建议，能够达到控制工作场所职业病危害、保护工人身体健康的目的。</w:t>
            </w:r>
          </w:p>
          <w:p>
            <w:pPr>
              <w:ind w:firstLine="560"/>
              <w:rPr>
                <w:rFonts w:ascii="宋体" w:hAnsi="宋体"/>
                <w:kern w:val="0"/>
              </w:rPr>
            </w:pPr>
            <w:r>
              <w:rPr>
                <w:rFonts w:hint="eastAsia" w:ascii="宋体" w:hAnsi="宋体" w:eastAsia="宋体" w:cs="Times New Roman"/>
                <w:kern w:val="0"/>
              </w:rPr>
              <w:t>根据</w:t>
            </w:r>
            <w:r>
              <w:rPr>
                <w:rFonts w:hint="eastAsia" w:ascii="宋体" w:hAnsi="宋体" w:eastAsia="宋体" w:cs="Times New Roman"/>
                <w:kern w:val="0"/>
                <w:lang w:eastAsia="zh-CN"/>
              </w:rPr>
              <w:t>本报告书和</w:t>
            </w:r>
            <w:r>
              <w:rPr>
                <w:rFonts w:hint="eastAsia" w:ascii="宋体" w:hAnsi="宋体" w:eastAsia="宋体" w:cs="Times New Roman"/>
                <w:kern w:val="0"/>
              </w:rPr>
              <w:t>检测报告及时落实其相关整改项，达到验收条件，建议企业</w:t>
            </w:r>
            <w:r>
              <w:rPr>
                <w:rFonts w:hint="eastAsia" w:ascii="宋体" w:hAnsi="宋体" w:eastAsia="宋体" w:cs="Times New Roman"/>
                <w:kern w:val="0"/>
                <w:lang w:eastAsia="zh-CN"/>
              </w:rPr>
              <w:t>自行组织有关职业卫生专家对职业病危害控制效果评价报告进行评审</w:t>
            </w:r>
            <w:r>
              <w:rPr>
                <w:rFonts w:hint="eastAsia" w:ascii="宋体" w:hAnsi="宋体" w:eastAsia="宋体" w:cs="Times New Roman"/>
                <w:kern w:val="0"/>
              </w:rPr>
              <w:t>。</w:t>
            </w:r>
            <w:r>
              <w:rPr>
                <w:rFonts w:hint="eastAsia" w:ascii="宋体" w:hAnsi="宋体" w:eastAsia="宋体" w:cs="Times New Roman"/>
                <w:kern w:val="0"/>
                <w:lang w:val="en-US" w:eastAsia="zh-CN"/>
              </w:rPr>
              <w:t>报告通过评审后，用人单位按要求整改到位，本项目防护设施设置情况符合验收标准。</w:t>
            </w:r>
          </w:p>
        </w:tc>
      </w:tr>
    </w:tbl>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240" w:lineRule="auto"/>
        <w:ind w:right="-153" w:rightChars="-73"/>
        <w:rPr>
          <w:rFonts w:hint="eastAsia" w:ascii="宋体" w:hAnsi="宋体" w:eastAsia="宋体"/>
          <w:kern w:val="0"/>
          <w:lang w:eastAsia="zh-CN"/>
        </w:rPr>
      </w:pPr>
    </w:p>
    <w:p>
      <w:pPr>
        <w:tabs>
          <w:tab w:val="left" w:pos="6840"/>
        </w:tabs>
        <w:spacing w:line="240" w:lineRule="auto"/>
        <w:ind w:right="-153" w:rightChars="-73"/>
        <w:rPr>
          <w:rFonts w:hint="eastAsia" w:ascii="宋体" w:hAnsi="宋体" w:eastAsia="宋体"/>
          <w:kern w:val="0"/>
          <w:lang w:eastAsia="zh-CN"/>
        </w:rPr>
      </w:pPr>
    </w:p>
    <w:p>
      <w:pPr>
        <w:tabs>
          <w:tab w:val="left" w:pos="6840"/>
        </w:tabs>
        <w:spacing w:line="240" w:lineRule="auto"/>
        <w:ind w:right="-153" w:rightChars="-73"/>
        <w:rPr>
          <w:rFonts w:hint="eastAsia" w:ascii="宋体" w:hAnsi="宋体" w:eastAsia="宋体"/>
          <w:kern w:val="0"/>
          <w:lang w:eastAsia="zh-CN"/>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240" w:lineRule="auto"/>
        <w:ind w:right="-153" w:rightChars="-73"/>
        <w:rPr>
          <w:rFonts w:hint="eastAsia" w:ascii="宋体" w:hAnsi="宋体" w:eastAsia="宋体"/>
          <w:kern w:val="0"/>
          <w:lang w:eastAsia="zh-CN"/>
        </w:rPr>
      </w:pPr>
      <w:r>
        <w:rPr>
          <w:rFonts w:hint="eastAsia" w:ascii="宋体" w:hAnsi="宋体" w:eastAsia="宋体"/>
          <w:kern w:val="0"/>
          <w:lang w:eastAsia="zh-CN"/>
        </w:rPr>
        <w:drawing>
          <wp:inline distT="0" distB="0" distL="114300" distR="114300">
            <wp:extent cx="4979035" cy="8851265"/>
            <wp:effectExtent l="0" t="0" r="12065" b="6985"/>
            <wp:docPr id="3" name="图片 3"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1)"/>
                    <pic:cNvPicPr>
                      <a:picLocks noChangeAspect="1"/>
                    </pic:cNvPicPr>
                  </pic:nvPicPr>
                  <pic:blipFill>
                    <a:blip r:embed="rId4"/>
                    <a:stretch>
                      <a:fillRect/>
                    </a:stretch>
                  </pic:blipFill>
                  <pic:spPr>
                    <a:xfrm>
                      <a:off x="0" y="0"/>
                      <a:ext cx="4979035" cy="8851265"/>
                    </a:xfrm>
                    <a:prstGeom prst="rect">
                      <a:avLst/>
                    </a:prstGeom>
                  </pic:spPr>
                </pic:pic>
              </a:graphicData>
            </a:graphic>
          </wp:inline>
        </w:drawing>
      </w:r>
      <w:r>
        <w:rPr>
          <w:rFonts w:hint="eastAsia" w:ascii="宋体" w:hAnsi="宋体" w:eastAsia="宋体"/>
          <w:kern w:val="0"/>
          <w:lang w:eastAsia="zh-CN"/>
        </w:rPr>
        <w:drawing>
          <wp:inline distT="0" distB="0" distL="114300" distR="114300">
            <wp:extent cx="4979035" cy="8851265"/>
            <wp:effectExtent l="0" t="0" r="12065" b="6985"/>
            <wp:docPr id="2" name="图片 2"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2)"/>
                    <pic:cNvPicPr>
                      <a:picLocks noChangeAspect="1"/>
                    </pic:cNvPicPr>
                  </pic:nvPicPr>
                  <pic:blipFill>
                    <a:blip r:embed="rId5"/>
                    <a:stretch>
                      <a:fillRect/>
                    </a:stretch>
                  </pic:blipFill>
                  <pic:spPr>
                    <a:xfrm>
                      <a:off x="0" y="0"/>
                      <a:ext cx="4979035" cy="8851265"/>
                    </a:xfrm>
                    <a:prstGeom prst="rect">
                      <a:avLst/>
                    </a:prstGeom>
                  </pic:spPr>
                </pic:pic>
              </a:graphicData>
            </a:graphic>
          </wp:inline>
        </w:drawing>
      </w:r>
      <w:r>
        <w:rPr>
          <w:rFonts w:hint="eastAsia" w:ascii="宋体" w:hAnsi="宋体" w:eastAsia="宋体"/>
          <w:kern w:val="0"/>
          <w:lang w:eastAsia="zh-CN"/>
        </w:rPr>
        <w:drawing>
          <wp:inline distT="0" distB="0" distL="114300" distR="114300">
            <wp:extent cx="4979035" cy="8851265"/>
            <wp:effectExtent l="0" t="0" r="12065" b="6985"/>
            <wp:docPr id="1" name="图片 1"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3)"/>
                    <pic:cNvPicPr>
                      <a:picLocks noChangeAspect="1"/>
                    </pic:cNvPicPr>
                  </pic:nvPicPr>
                  <pic:blipFill>
                    <a:blip r:embed="rId6"/>
                    <a:stretch>
                      <a:fillRect/>
                    </a:stretch>
                  </pic:blipFill>
                  <pic:spPr>
                    <a:xfrm>
                      <a:off x="0" y="0"/>
                      <a:ext cx="4979035" cy="8851265"/>
                    </a:xfrm>
                    <a:prstGeom prst="rect">
                      <a:avLst/>
                    </a:prstGeom>
                  </pic:spPr>
                </pic:pic>
              </a:graphicData>
            </a:graphic>
          </wp:inline>
        </w:drawing>
      </w:r>
    </w:p>
    <w:p>
      <w:pPr>
        <w:tabs>
          <w:tab w:val="left" w:pos="6840"/>
        </w:tabs>
        <w:spacing w:line="240" w:lineRule="auto"/>
        <w:ind w:right="-153" w:rightChars="-73"/>
        <w:rPr>
          <w:rFonts w:hint="eastAsia" w:ascii="宋体" w:hAnsi="宋体"/>
          <w:kern w:val="0"/>
        </w:rPr>
      </w:pPr>
      <w:r>
        <w:rPr>
          <w:rFonts w:hint="eastAsia" w:ascii="宋体" w:hAnsi="宋体"/>
          <w:kern w:val="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2"/>
      <w:numFmt w:val="decimal"/>
      <w:lvlText w:val="第%1章"/>
      <w:lvlJc w:val="left"/>
      <w:pPr>
        <w:tabs>
          <w:tab w:val="left" w:pos="1275"/>
        </w:tabs>
        <w:ind w:left="1275" w:hanging="1275"/>
      </w:pPr>
      <w:rPr>
        <w:rFonts w:hint="eastAsia"/>
      </w:rPr>
    </w:lvl>
    <w:lvl w:ilvl="1" w:tentative="0">
      <w:start w:val="1"/>
      <w:numFmt w:val="decimal"/>
      <w:pStyle w:val="7"/>
      <w:lvlText w:val="%1.%2"/>
      <w:lvlJc w:val="left"/>
      <w:pPr>
        <w:tabs>
          <w:tab w:val="left" w:pos="576"/>
        </w:tabs>
        <w:ind w:left="576" w:hanging="576"/>
      </w:pPr>
      <w:rPr>
        <w:rFonts w:hint="eastAsia"/>
      </w:rPr>
    </w:lvl>
    <w:lvl w:ilvl="2" w:tentative="0">
      <w:start w:val="1"/>
      <w:numFmt w:val="decimal"/>
      <w:lvlText w:val="%1.%2.%3"/>
      <w:lvlJc w:val="left"/>
      <w:pPr>
        <w:tabs>
          <w:tab w:val="left" w:pos="108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U2OGY4ODdiYTkwOTlmMTllNTA5MzAzZTQ3MGMwNTcifQ=="/>
  </w:docVars>
  <w:rsids>
    <w:rsidRoot w:val="00712171"/>
    <w:rsid w:val="00226195"/>
    <w:rsid w:val="00457941"/>
    <w:rsid w:val="004E08A2"/>
    <w:rsid w:val="00712171"/>
    <w:rsid w:val="008209DA"/>
    <w:rsid w:val="009419F4"/>
    <w:rsid w:val="00986290"/>
    <w:rsid w:val="00A96750"/>
    <w:rsid w:val="00AB0D77"/>
    <w:rsid w:val="00B27FF6"/>
    <w:rsid w:val="00D03AE0"/>
    <w:rsid w:val="00E8501B"/>
    <w:rsid w:val="00FF0A04"/>
    <w:rsid w:val="020A2538"/>
    <w:rsid w:val="15EA4742"/>
    <w:rsid w:val="1EA810E7"/>
    <w:rsid w:val="21E40FD7"/>
    <w:rsid w:val="28A05AA4"/>
    <w:rsid w:val="2E886136"/>
    <w:rsid w:val="37B53639"/>
    <w:rsid w:val="3A1D743F"/>
    <w:rsid w:val="3CAB7884"/>
    <w:rsid w:val="3EDD0256"/>
    <w:rsid w:val="3F163D1F"/>
    <w:rsid w:val="4B9E7CD9"/>
    <w:rsid w:val="4EC30BF3"/>
    <w:rsid w:val="56DC4618"/>
    <w:rsid w:val="58976A68"/>
    <w:rsid w:val="5BFB1728"/>
    <w:rsid w:val="6E9E31C2"/>
    <w:rsid w:val="77CF4185"/>
    <w:rsid w:val="786D50F9"/>
    <w:rsid w:val="7BD9548C"/>
    <w:rsid w:val="7E012A6F"/>
    <w:rsid w:val="7FDD3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1"/>
      <w:lang w:val="en-US" w:eastAsia="zh-CN" w:bidi="ar-SA"/>
    </w:rPr>
  </w:style>
  <w:style w:type="paragraph" w:styleId="6">
    <w:name w:val="heading 1"/>
    <w:basedOn w:val="1"/>
    <w:next w:val="1"/>
    <w:autoRedefine/>
    <w:qFormat/>
    <w:uiPriority w:val="0"/>
    <w:pPr>
      <w:keepNext/>
      <w:keepLines/>
      <w:spacing w:before="340" w:beforeLines="0" w:after="330" w:afterLines="0" w:line="25" w:lineRule="atLeast"/>
      <w:outlineLvl w:val="0"/>
    </w:pPr>
    <w:rPr>
      <w:rFonts w:ascii="Times New Roman" w:hAnsi="Times New Roman" w:eastAsia="仿宋_GB2312"/>
      <w:b/>
      <w:bCs/>
      <w:kern w:val="44"/>
      <w:sz w:val="30"/>
      <w:szCs w:val="44"/>
    </w:rPr>
  </w:style>
  <w:style w:type="paragraph" w:styleId="7">
    <w:name w:val="heading 2"/>
    <w:basedOn w:val="1"/>
    <w:next w:val="1"/>
    <w:autoRedefine/>
    <w:qFormat/>
    <w:uiPriority w:val="0"/>
    <w:pPr>
      <w:keepNext/>
      <w:keepLines/>
      <w:numPr>
        <w:ilvl w:val="1"/>
        <w:numId w:val="1"/>
      </w:numPr>
      <w:spacing w:before="60" w:beforeLines="0" w:line="300" w:lineRule="auto"/>
      <w:outlineLvl w:val="1"/>
    </w:pPr>
    <w:rPr>
      <w:rFonts w:ascii="Times New Roman" w:hAnsi="Times New Roman" w:eastAsia="仿宋_GB2312"/>
      <w:b/>
      <w:bCs/>
      <w:smallCaps/>
      <w:sz w:val="28"/>
      <w:szCs w:val="32"/>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unhideWhenUsed/>
    <w:qFormat/>
    <w:uiPriority w:val="0"/>
    <w:pPr>
      <w:widowControl w:val="0"/>
      <w:autoSpaceDE w:val="0"/>
      <w:autoSpaceDN w:val="0"/>
      <w:adjustRightInd w:val="0"/>
    </w:pPr>
    <w:rPr>
      <w:rFonts w:hint="eastAsia" w:ascii="宋体" w:hAnsi="宋体" w:eastAsia="宋体" w:cs="Times New Roman"/>
      <w:color w:val="000000"/>
      <w:sz w:val="24"/>
      <w:szCs w:val="22"/>
      <w:lang w:bidi="ar-SA"/>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autoRedefine/>
    <w:unhideWhenUsed/>
    <w:qFormat/>
    <w:uiPriority w:val="99"/>
    <w:pPr>
      <w:adjustRightInd w:val="0"/>
      <w:snapToGrid w:val="0"/>
      <w:spacing w:after="120" w:line="520" w:lineRule="exact"/>
      <w:ind w:firstLine="210" w:firstLineChars="0"/>
      <w:textAlignment w:val="baseline"/>
    </w:pPr>
    <w:rPr>
      <w:rFonts w:ascii="黑体" w:hAnsi="Arial" w:eastAsia="黑体" w:cs="Arial"/>
      <w:snapToGrid w:val="0"/>
      <w:kern w:val="0"/>
      <w:sz w:val="24"/>
      <w:szCs w:val="20"/>
    </w:rPr>
  </w:style>
  <w:style w:type="paragraph" w:styleId="5">
    <w:name w:val="Body Text Indent"/>
    <w:basedOn w:val="1"/>
    <w:next w:val="1"/>
    <w:autoRedefine/>
    <w:qFormat/>
    <w:uiPriority w:val="0"/>
    <w:pPr>
      <w:ind w:firstLine="560" w:firstLineChars="200"/>
    </w:pPr>
    <w:rPr>
      <w:sz w:val="28"/>
    </w:rPr>
  </w:style>
  <w:style w:type="paragraph" w:styleId="8">
    <w:name w:val="Balloon Text"/>
    <w:basedOn w:val="1"/>
    <w:link w:val="16"/>
    <w:autoRedefine/>
    <w:semiHidden/>
    <w:unhideWhenUsed/>
    <w:qFormat/>
    <w:uiPriority w:val="99"/>
    <w:rPr>
      <w:sz w:val="18"/>
      <w:szCs w:val="18"/>
    </w:rPr>
  </w:style>
  <w:style w:type="paragraph" w:styleId="9">
    <w:name w:val="footer"/>
    <w:basedOn w:val="1"/>
    <w:link w:val="15"/>
    <w:autoRedefine/>
    <w:semiHidden/>
    <w:unhideWhenUsed/>
    <w:qFormat/>
    <w:uiPriority w:val="99"/>
    <w:pPr>
      <w:tabs>
        <w:tab w:val="center" w:pos="4153"/>
        <w:tab w:val="right" w:pos="8306"/>
      </w:tabs>
      <w:snapToGrid w:val="0"/>
      <w:jc w:val="left"/>
    </w:pPr>
    <w:rPr>
      <w:sz w:val="18"/>
      <w:szCs w:val="18"/>
    </w:rPr>
  </w:style>
  <w:style w:type="paragraph" w:styleId="10">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next w:val="1"/>
    <w:autoRedefine/>
    <w:qFormat/>
    <w:uiPriority w:val="0"/>
    <w:pPr>
      <w:widowControl/>
      <w:spacing w:before="100" w:beforeAutospacing="1" w:after="100" w:afterAutospacing="1" w:line="490" w:lineRule="exact"/>
      <w:ind w:firstLine="200" w:firstLineChars="200"/>
      <w:jc w:val="left"/>
    </w:pPr>
    <w:rPr>
      <w:rFonts w:ascii="宋体" w:hAnsi="宋体" w:cs="宋体"/>
      <w:kern w:val="0"/>
      <w:sz w:val="24"/>
      <w:szCs w:val="24"/>
    </w:rPr>
  </w:style>
  <w:style w:type="character" w:customStyle="1" w:styleId="14">
    <w:name w:val="页眉 Char"/>
    <w:basedOn w:val="13"/>
    <w:link w:val="10"/>
    <w:autoRedefine/>
    <w:semiHidden/>
    <w:qFormat/>
    <w:uiPriority w:val="99"/>
    <w:rPr>
      <w:rFonts w:ascii="Calibri" w:hAnsi="Calibri" w:eastAsia="宋体" w:cs="Times New Roman"/>
      <w:sz w:val="18"/>
      <w:szCs w:val="18"/>
    </w:rPr>
  </w:style>
  <w:style w:type="character" w:customStyle="1" w:styleId="15">
    <w:name w:val="页脚 Char"/>
    <w:basedOn w:val="13"/>
    <w:link w:val="9"/>
    <w:autoRedefine/>
    <w:semiHidden/>
    <w:qFormat/>
    <w:uiPriority w:val="99"/>
    <w:rPr>
      <w:rFonts w:ascii="Calibri" w:hAnsi="Calibri" w:eastAsia="宋体" w:cs="Times New Roman"/>
      <w:sz w:val="18"/>
      <w:szCs w:val="18"/>
    </w:rPr>
  </w:style>
  <w:style w:type="character" w:customStyle="1" w:styleId="16">
    <w:name w:val="批注框文本 Char"/>
    <w:basedOn w:val="13"/>
    <w:link w:val="8"/>
    <w:autoRedefine/>
    <w:semiHidden/>
    <w:qFormat/>
    <w:uiPriority w:val="99"/>
    <w:rPr>
      <w:rFonts w:ascii="Calibri" w:hAnsi="Calibri" w:eastAsia="宋体" w:cs="Times New Roman"/>
      <w:sz w:val="18"/>
      <w:szCs w:val="18"/>
    </w:rPr>
  </w:style>
  <w:style w:type="paragraph" w:customStyle="1" w:styleId="17">
    <w:name w:val="样式 标题 2"/>
    <w:basedOn w:val="7"/>
    <w:autoRedefine/>
    <w:qFormat/>
    <w:uiPriority w:val="0"/>
    <w:pPr>
      <w:adjustRightInd w:val="0"/>
      <w:snapToGrid w:val="0"/>
      <w:spacing w:before="120" w:beforeLines="0" w:after="120" w:afterLines="0" w:line="240" w:lineRule="auto"/>
      <w:textAlignment w:val="baseline"/>
    </w:pPr>
    <w:rPr>
      <w:rFonts w:ascii="Arial" w:hAnsi="Arial" w:eastAsia="宋体" w:cs="宋体"/>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Pages>
  <Words>264</Words>
  <Characters>1506</Characters>
  <Lines>12</Lines>
  <Paragraphs>3</Paragraphs>
  <TotalTime>0</TotalTime>
  <ScaleCrop>false</ScaleCrop>
  <LinksUpToDate>false</LinksUpToDate>
  <CharactersWithSpaces>1767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2023-12-27T03:30:00Z</dcterms:created>
  <dc:creator>微软用户</dc:creator>
  <cp:lastModifiedBy>Administrator</cp:lastModifiedBy>
  <dcterms:modified xsi:type="dcterms:W3CDTF">2024-01-24T07:09:04Z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8A99A501F5994F539EFC230AA2A5D153_12</vt:lpwstr>
  </property>
</Properties>
</file>