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Times New Roman"/>
          <w:kern w:val="0"/>
        </w:rPr>
      </w:pPr>
      <w:r>
        <w:rPr>
          <w:rFonts w:hint="eastAsia" w:ascii="宋体" w:hAnsi="宋体" w:eastAsia="宋体" w:cs="Times New Roman"/>
          <w:kern w:val="0"/>
          <w:lang w:val="en-US" w:eastAsia="zh-CN"/>
        </w:rPr>
        <w:t>江西天行化工有限责任公司</w:t>
      </w:r>
      <w:r>
        <w:rPr>
          <w:rFonts w:hint="eastAsia" w:ascii="宋体" w:hAnsi="宋体" w:eastAsia="宋体" w:cs="Times New Roman"/>
          <w:kern w:val="0"/>
        </w:rPr>
        <w:t>职业病危害现状评价报告公示</w:t>
      </w:r>
    </w:p>
    <w:tbl>
      <w:tblPr>
        <w:tblStyle w:val="12"/>
        <w:tblW w:w="0" w:type="auto"/>
        <w:tblInd w:w="1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14"/>
        <w:gridCol w:w="2098"/>
        <w:gridCol w:w="634"/>
        <w:gridCol w:w="2112"/>
        <w:gridCol w:w="342"/>
        <w:gridCol w:w="788"/>
        <w:gridCol w:w="121"/>
        <w:gridCol w:w="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7" w:hRule="atLeast"/>
        </w:trPr>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hint="eastAsia" w:ascii="宋体" w:hAnsi="宋体" w:eastAsia="宋体" w:cs="Times New Roman"/>
                <w:kern w:val="0"/>
              </w:rPr>
            </w:pPr>
            <w:r>
              <w:rPr>
                <w:rFonts w:hint="eastAsia" w:ascii="宋体" w:hAnsi="宋体" w:eastAsia="宋体" w:cs="Times New Roman"/>
                <w:b/>
                <w:bCs/>
                <w:kern w:val="0"/>
              </w:rPr>
              <w:t>项目名称</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cs="Times New Roman"/>
                <w:kern w:val="0"/>
              </w:rPr>
            </w:pPr>
            <w:r>
              <w:rPr>
                <w:rFonts w:hint="eastAsia" w:ascii="宋体" w:hAnsi="宋体" w:eastAsia="宋体" w:cs="Times New Roman"/>
                <w:kern w:val="0"/>
                <w:lang w:eastAsia="zh-CN"/>
              </w:rPr>
              <w:t>年产4万吨无水氟化氢项目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报告编号</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widowControl/>
              <w:jc w:val="left"/>
              <w:rPr>
                <w:rFonts w:hint="default" w:ascii="宋体" w:hAnsi="宋体" w:eastAsia="宋体"/>
                <w:kern w:val="0"/>
                <w:lang w:val="en-US" w:eastAsia="zh-CN"/>
              </w:rPr>
            </w:pPr>
            <w:r>
              <w:rPr>
                <w:rFonts w:hint="eastAsia" w:ascii="宋体" w:hAnsi="宋体"/>
                <w:kern w:val="0"/>
              </w:rPr>
              <w:t xml:space="preserve">京华评字 </w:t>
            </w:r>
            <w:r>
              <w:rPr>
                <w:rFonts w:hint="eastAsia" w:ascii="宋体" w:hAnsi="宋体"/>
                <w:kern w:val="0"/>
                <w:lang w:val="en-US" w:eastAsia="zh-CN"/>
              </w:rPr>
              <w:t>X</w:t>
            </w:r>
            <w:r>
              <w:rPr>
                <w:rFonts w:hint="eastAsia" w:ascii="宋体" w:hAnsi="宋体"/>
                <w:kern w:val="0"/>
              </w:rPr>
              <w:t>P2023-0</w:t>
            </w:r>
            <w:r>
              <w:rPr>
                <w:rFonts w:hint="eastAsia" w:ascii="宋体" w:hAnsi="宋体"/>
                <w:kern w:val="0"/>
                <w:lang w:val="en-US" w:eastAsia="zh-CN"/>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eastAsia="宋体" w:cs="Times New Roman"/>
                <w:kern w:val="0"/>
                <w:lang w:val="en-US" w:eastAsia="zh-CN"/>
              </w:rPr>
              <w:t>江西天行化工有限责任公司</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地理位置</w:t>
            </w:r>
          </w:p>
        </w:tc>
        <w:tc>
          <w:tcPr>
            <w:tcW w:w="2456"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eastAsia="宋体" w:cs="Times New Roman"/>
                <w:kern w:val="0"/>
                <w:lang w:eastAsia="zh-CN"/>
              </w:rPr>
              <w:t>江西省抚州市崇仁县六家桥竹硝山</w:t>
            </w:r>
          </w:p>
        </w:tc>
        <w:tc>
          <w:tcPr>
            <w:tcW w:w="910"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联系人</w:t>
            </w:r>
          </w:p>
        </w:tc>
        <w:tc>
          <w:tcPr>
            <w:tcW w:w="771"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lang w:val="en-US" w:eastAsia="zh-CN"/>
              </w:rPr>
              <w:t>邹超</w:t>
            </w:r>
            <w:bookmarkStart w:id="0" w:name="_GoBack"/>
            <w:bookmarkEnd w:id="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项目简介</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eastAsia="宋体" w:cs="Times New Roman"/>
                <w:kern w:val="0"/>
                <w:lang w:val="en-US" w:eastAsia="zh-CN"/>
              </w:rPr>
              <w:t>江西天行化工有限责任公司是中国天行集团有限公司的一家子公司，成立于2007年，公司法人代表蔡东强，注册地址位于江西省抚州市崇仁县六家桥竹硝山，注册资本为4000万元（人民币）。工业无水氟化氢是一种用途广泛的化工产品，主要用作制取氟盐、氟卤烷烃、氟致冷剂、腐蚀玻璃、浸渍木材、电解元素氟等。氢氟酸用于制氟硅酸盐和冰晶石，并用于电镀、啤酒消毒、木材防腐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现场调查人员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lang w:eastAsia="zh-CN"/>
              </w:rPr>
              <w:t>熊建江、吴华</w:t>
            </w:r>
            <w:r>
              <w:rPr>
                <w:rFonts w:hint="eastAsia" w:ascii="宋体" w:hAnsi="宋体"/>
                <w:kern w:val="0"/>
              </w:rPr>
              <w:t xml:space="preserve">  </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2023年</w:t>
            </w:r>
            <w:r>
              <w:rPr>
                <w:rFonts w:hint="eastAsia" w:ascii="宋体" w:hAnsi="宋体"/>
                <w:kern w:val="0"/>
                <w:lang w:val="en-US" w:eastAsia="zh-CN"/>
              </w:rPr>
              <w:t>2</w:t>
            </w:r>
            <w:r>
              <w:rPr>
                <w:rFonts w:hint="eastAsia" w:ascii="宋体" w:hAnsi="宋体"/>
                <w:kern w:val="0"/>
              </w:rPr>
              <w:t>月</w:t>
            </w:r>
            <w:r>
              <w:rPr>
                <w:rFonts w:hint="eastAsia" w:ascii="宋体" w:hAnsi="宋体"/>
                <w:kern w:val="0"/>
                <w:lang w:val="en-US" w:eastAsia="zh-CN"/>
              </w:rPr>
              <w:t>3</w:t>
            </w:r>
            <w:r>
              <w:rPr>
                <w:rFonts w:hint="eastAsia" w:ascii="宋体" w:hAnsi="宋体"/>
                <w:kern w:val="0"/>
              </w:rPr>
              <w:t>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kern w:val="0"/>
                <w:lang w:val="en-US" w:eastAsia="zh-CN"/>
              </w:rPr>
            </w:pPr>
            <w:r>
              <w:rPr>
                <w:rFonts w:hint="eastAsia" w:ascii="宋体" w:hAnsi="宋体"/>
                <w:kern w:val="0"/>
                <w:lang w:val="en-US" w:eastAsia="zh-CN"/>
              </w:rPr>
              <w:t>邹超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color w:val="333333"/>
                <w:kern w:val="0"/>
              </w:rPr>
              <w:t>现场</w:t>
            </w:r>
            <w:r>
              <w:rPr>
                <w:rFonts w:hint="eastAsia" w:ascii="宋体" w:hAnsi="宋体"/>
                <w:b/>
                <w:bCs/>
                <w:kern w:val="0"/>
              </w:rPr>
              <w:t>采样、检测人员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宋体" w:hAnsi="宋体" w:eastAsia="宋体"/>
                <w:kern w:val="0"/>
                <w:lang w:eastAsia="zh-CN"/>
              </w:rPr>
            </w:pPr>
            <w:r>
              <w:rPr>
                <w:rFonts w:hint="eastAsia" w:ascii="宋体" w:hAnsi="宋体"/>
                <w:kern w:val="0"/>
                <w:lang w:eastAsia="zh-CN"/>
              </w:rPr>
              <w:t>熊建江、吴华、吴桂兰、付雪琴</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2023年</w:t>
            </w:r>
            <w:r>
              <w:rPr>
                <w:rFonts w:hint="eastAsia" w:ascii="宋体" w:hAnsi="宋体"/>
                <w:kern w:val="0"/>
                <w:lang w:val="en-US" w:eastAsia="zh-CN"/>
              </w:rPr>
              <w:t>2</w:t>
            </w:r>
            <w:r>
              <w:rPr>
                <w:rFonts w:hint="eastAsia" w:ascii="宋体" w:hAnsi="宋体"/>
                <w:kern w:val="0"/>
              </w:rPr>
              <w:t>月</w:t>
            </w:r>
            <w:r>
              <w:rPr>
                <w:rFonts w:hint="eastAsia" w:ascii="宋体" w:hAnsi="宋体"/>
                <w:kern w:val="0"/>
                <w:lang w:val="en-US" w:eastAsia="zh-CN"/>
              </w:rPr>
              <w:t>6</w:t>
            </w:r>
            <w:r>
              <w:rPr>
                <w:rFonts w:hint="eastAsia" w:ascii="宋体" w:hAnsi="宋体"/>
                <w:kern w:val="0"/>
              </w:rPr>
              <w:t>日-</w:t>
            </w:r>
            <w:r>
              <w:rPr>
                <w:rFonts w:hint="eastAsia" w:ascii="宋体" w:hAnsi="宋体"/>
                <w:kern w:val="0"/>
                <w:lang w:val="en-US" w:eastAsia="zh-CN"/>
              </w:rPr>
              <w:t>2</w:t>
            </w:r>
            <w:r>
              <w:rPr>
                <w:rFonts w:hint="eastAsia" w:ascii="宋体" w:hAnsi="宋体"/>
                <w:kern w:val="0"/>
              </w:rPr>
              <w:t>月</w:t>
            </w:r>
            <w:r>
              <w:rPr>
                <w:rFonts w:hint="eastAsia" w:ascii="宋体" w:hAnsi="宋体"/>
                <w:kern w:val="0"/>
                <w:lang w:val="en-US" w:eastAsia="zh-CN"/>
              </w:rPr>
              <w:t>8</w:t>
            </w:r>
            <w:r>
              <w:rPr>
                <w:rFonts w:hint="eastAsia" w:ascii="宋体" w:hAnsi="宋体"/>
                <w:kern w:val="0"/>
              </w:rPr>
              <w:t>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lang w:val="en-US" w:eastAsia="zh-CN"/>
              </w:rPr>
              <w:t>邹超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建设项目存在的职业病危害因素及检测结果</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本项目存在的主要职业病危害因素包括</w:t>
            </w:r>
          </w:p>
          <w:p>
            <w:pPr>
              <w:ind w:firstLine="560"/>
              <w:rPr>
                <w:rFonts w:hint="eastAsia" w:ascii="宋体" w:hAnsi="宋体" w:eastAsia="宋体" w:cs="Times New Roman"/>
                <w:kern w:val="0"/>
              </w:rPr>
            </w:pPr>
            <w:r>
              <w:rPr>
                <w:rFonts w:hint="eastAsia" w:ascii="宋体" w:hAnsi="宋体" w:eastAsia="宋体" w:cs="Times New Roman"/>
                <w:kern w:val="0"/>
              </w:rPr>
              <w:t>化学有害因素：石灰石粉尘、萤石混合型粉尘</w:t>
            </w:r>
            <w:r>
              <w:rPr>
                <w:rFonts w:hint="eastAsia" w:ascii="宋体" w:hAnsi="宋体" w:eastAsia="宋体" w:cs="Times New Roman"/>
                <w:kern w:val="0"/>
                <w:lang w:eastAsia="zh-CN"/>
              </w:rPr>
              <w:t>、二氧化硫、</w:t>
            </w:r>
            <w:r>
              <w:rPr>
                <w:rFonts w:hint="eastAsia" w:ascii="宋体" w:hAnsi="宋体" w:eastAsia="宋体" w:cs="Times New Roman"/>
                <w:kern w:val="0"/>
              </w:rPr>
              <w:t>CO、硫酸、HF</w:t>
            </w:r>
          </w:p>
          <w:p>
            <w:pPr>
              <w:ind w:firstLine="560"/>
              <w:rPr>
                <w:rFonts w:hint="eastAsia" w:ascii="宋体" w:hAnsi="宋体" w:eastAsia="宋体" w:cs="Times New Roman"/>
                <w:kern w:val="0"/>
                <w:lang w:eastAsia="zh-CN"/>
              </w:rPr>
            </w:pPr>
            <w:r>
              <w:rPr>
                <w:rFonts w:hint="eastAsia" w:ascii="宋体" w:hAnsi="宋体" w:eastAsia="宋体" w:cs="Times New Roman"/>
                <w:kern w:val="0"/>
              </w:rPr>
              <w:t>物理因素：噪声</w:t>
            </w:r>
            <w:r>
              <w:rPr>
                <w:rFonts w:hint="eastAsia" w:ascii="宋体" w:hAnsi="宋体" w:eastAsia="宋体" w:cs="Times New Roman"/>
                <w:kern w:val="0"/>
                <w:lang w:eastAsia="zh-CN"/>
              </w:rPr>
              <w:t>、</w:t>
            </w:r>
            <w:r>
              <w:rPr>
                <w:rFonts w:hint="eastAsia" w:ascii="宋体" w:hAnsi="宋体" w:eastAsia="宋体" w:cs="Times New Roman"/>
                <w:kern w:val="0"/>
              </w:rPr>
              <w:t>高温</w:t>
            </w:r>
          </w:p>
          <w:p>
            <w:pPr>
              <w:ind w:firstLine="560"/>
              <w:rPr>
                <w:rFonts w:ascii="宋体" w:hAnsi="宋体"/>
                <w:kern w:val="0"/>
              </w:rPr>
            </w:pPr>
            <w:r>
              <w:rPr>
                <w:rFonts w:hint="eastAsia" w:ascii="宋体" w:hAnsi="宋体"/>
                <w:kern w:val="0"/>
              </w:rPr>
              <w:t>① 由现场检测结果可知，建设项目有害物质短时间接触浓度、最高容许浓度、时间加权平均容许浓度符合国家卫生标准要求。</w:t>
            </w:r>
          </w:p>
          <w:p>
            <w:pPr>
              <w:ind w:firstLine="560"/>
              <w:rPr>
                <w:rFonts w:ascii="宋体" w:hAnsi="宋体"/>
                <w:kern w:val="0"/>
              </w:rPr>
            </w:pPr>
            <w:r>
              <w:rPr>
                <w:rFonts w:hint="eastAsia" w:ascii="宋体" w:hAnsi="宋体"/>
                <w:kern w:val="0"/>
              </w:rPr>
              <w:t>② 由现场检测结果可知，建设项目工作岗位噪声检测结果符合国家卫生标准要求。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评价结论及建议</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eastAsia="宋体" w:cs="Times New Roman"/>
                <w:kern w:val="0"/>
              </w:rPr>
              <w:t>根据职业病防护设施设置情况，</w:t>
            </w:r>
            <w:r>
              <w:rPr>
                <w:rFonts w:hint="default" w:ascii="宋体" w:hAnsi="宋体" w:eastAsia="宋体" w:cs="Times New Roman"/>
                <w:kern w:val="0"/>
              </w:rPr>
              <w:t>从本项目产生的主要职业病危害及现场作业情况看，本项目针对生产过程中产生的毒物、噪声及工频电场等职业病危害因素分别采用了自动化、通风系统、低噪声设备、减震基础、屏蔽等设施</w:t>
            </w:r>
            <w:r>
              <w:rPr>
                <w:rFonts w:hint="eastAsia" w:ascii="宋体" w:hAnsi="宋体" w:eastAsia="宋体" w:cs="Times New Roman"/>
                <w:kern w:val="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技术审查专家组</w:t>
            </w:r>
          </w:p>
          <w:p>
            <w:pPr>
              <w:widowControl/>
              <w:jc w:val="center"/>
              <w:rPr>
                <w:rFonts w:ascii="宋体" w:hAnsi="宋体"/>
                <w:kern w:val="0"/>
              </w:rPr>
            </w:pPr>
            <w:r>
              <w:rPr>
                <w:rFonts w:hint="eastAsia" w:ascii="宋体" w:hAnsi="宋体"/>
                <w:b/>
                <w:bCs/>
                <w:kern w:val="0"/>
              </w:rPr>
              <w:t>评审意见</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hint="eastAsia" w:ascii="宋体" w:hAnsi="宋体" w:eastAsia="宋体" w:cs="Times New Roman"/>
                <w:kern w:val="0"/>
              </w:rPr>
            </w:pPr>
            <w:r>
              <w:rPr>
                <w:rFonts w:hint="default" w:ascii="宋体" w:hAnsi="宋体" w:eastAsia="宋体" w:cs="Times New Roman"/>
                <w:kern w:val="0"/>
              </w:rPr>
              <w:t>从本次评价相关作业场所的职业病危害因素检测结果以及职业病防护设施调查结果看：主要职业病危害因素浓度/强度均未超过职业接触限值，表明以上作业点所设置的防护设施有效，职业病防护设施的有效性符合相关标准要求。</w:t>
            </w:r>
          </w:p>
          <w:p>
            <w:pPr>
              <w:ind w:firstLine="560"/>
              <w:rPr>
                <w:rFonts w:hint="default" w:ascii="宋体" w:hAnsi="宋体" w:eastAsia="宋体" w:cs="Times New Roman"/>
                <w:kern w:val="0"/>
              </w:rPr>
            </w:pPr>
            <w:r>
              <w:rPr>
                <w:rFonts w:hint="default" w:ascii="宋体" w:hAnsi="宋体" w:eastAsia="宋体" w:cs="Times New Roman"/>
                <w:kern w:val="0"/>
              </w:rPr>
              <w:t>通过以上检查表分析，认为企业从职业病防护设施合理性上来看基本符合《工业企业设计卫生标准》(GBZ l-2010)的要求。</w:t>
            </w:r>
          </w:p>
          <w:p>
            <w:pPr>
              <w:ind w:firstLine="560"/>
              <w:rPr>
                <w:rFonts w:hint="eastAsia" w:ascii="宋体" w:hAnsi="宋体" w:eastAsia="宋体" w:cs="Times New Roman"/>
                <w:kern w:val="0"/>
              </w:rPr>
            </w:pPr>
            <w:r>
              <w:rPr>
                <w:rFonts w:hint="eastAsia" w:ascii="宋体" w:hAnsi="宋体" w:eastAsia="宋体" w:cs="Times New Roman"/>
                <w:kern w:val="0"/>
              </w:rPr>
              <w:t>本项目职业病防护措施还应满足以下要求：</w:t>
            </w:r>
          </w:p>
          <w:p>
            <w:pPr>
              <w:ind w:firstLine="560"/>
              <w:rPr>
                <w:rFonts w:hint="eastAsia" w:ascii="宋体" w:hAnsi="宋体" w:eastAsia="宋体" w:cs="Times New Roman"/>
                <w:kern w:val="0"/>
              </w:rPr>
            </w:pPr>
            <w:r>
              <w:rPr>
                <w:rFonts w:hint="eastAsia" w:ascii="宋体" w:hAnsi="宋体" w:eastAsia="宋体" w:cs="Times New Roman"/>
                <w:kern w:val="0"/>
                <w:lang w:eastAsia="zh-CN"/>
              </w:rPr>
              <w:t>⑴</w:t>
            </w:r>
            <w:r>
              <w:rPr>
                <w:rFonts w:hint="eastAsia" w:ascii="宋体" w:hAnsi="宋体" w:eastAsia="宋体" w:cs="Times New Roman"/>
                <w:kern w:val="0"/>
              </w:rPr>
              <w:t>应备有生产工艺关于毒物产生情况的说明及控制措施技术文档；</w:t>
            </w:r>
          </w:p>
          <w:p>
            <w:pPr>
              <w:ind w:firstLine="560"/>
              <w:rPr>
                <w:rFonts w:hint="eastAsia" w:ascii="宋体" w:hAnsi="宋体" w:eastAsia="宋体" w:cs="Times New Roman"/>
                <w:kern w:val="0"/>
              </w:rPr>
            </w:pPr>
            <w:r>
              <w:rPr>
                <w:rFonts w:hint="eastAsia" w:ascii="宋体" w:hAnsi="宋体" w:eastAsia="宋体" w:cs="Times New Roman"/>
                <w:kern w:val="0"/>
                <w:lang w:eastAsia="zh-CN"/>
              </w:rPr>
              <w:t>⑵</w:t>
            </w:r>
            <w:r>
              <w:rPr>
                <w:rFonts w:hint="eastAsia" w:ascii="宋体" w:hAnsi="宋体" w:eastAsia="宋体" w:cs="Times New Roman"/>
                <w:kern w:val="0"/>
              </w:rPr>
              <w:t>应备有本单位使用的各种</w:t>
            </w:r>
            <w:r>
              <w:rPr>
                <w:rFonts w:hint="eastAsia" w:ascii="宋体" w:hAnsi="宋体" w:eastAsia="宋体" w:cs="Times New Roman"/>
                <w:kern w:val="0"/>
                <w:lang w:eastAsia="zh-CN"/>
              </w:rPr>
              <w:t>原料</w:t>
            </w:r>
            <w:r>
              <w:rPr>
                <w:rFonts w:hint="eastAsia" w:ascii="宋体" w:hAnsi="宋体" w:eastAsia="宋体" w:cs="Times New Roman"/>
                <w:kern w:val="0"/>
              </w:rPr>
              <w:t>的化学品安全技术说明书</w:t>
            </w:r>
            <w:r>
              <w:rPr>
                <w:rFonts w:hint="eastAsia" w:ascii="宋体" w:hAnsi="宋体" w:eastAsia="宋体" w:cs="Times New Roman"/>
                <w:kern w:val="0"/>
                <w:lang w:eastAsia="zh-CN"/>
              </w:rPr>
              <w:t>，</w:t>
            </w:r>
            <w:r>
              <w:rPr>
                <w:rFonts w:hint="eastAsia" w:ascii="宋体" w:hAnsi="宋体" w:eastAsia="宋体" w:cs="Times New Roman"/>
                <w:kern w:val="0"/>
              </w:rPr>
              <w:t>该说明书应建档保存；</w:t>
            </w:r>
          </w:p>
          <w:p>
            <w:pPr>
              <w:ind w:firstLine="560"/>
              <w:rPr>
                <w:rFonts w:hint="eastAsia" w:ascii="宋体" w:hAnsi="宋体" w:eastAsia="宋体" w:cs="Times New Roman"/>
                <w:kern w:val="0"/>
              </w:rPr>
            </w:pPr>
            <w:r>
              <w:rPr>
                <w:rFonts w:hint="eastAsia" w:ascii="宋体" w:hAnsi="宋体" w:eastAsia="宋体" w:cs="Times New Roman"/>
                <w:kern w:val="0"/>
                <w:lang w:eastAsia="zh-CN"/>
              </w:rPr>
              <w:t>⑶</w:t>
            </w:r>
            <w:r>
              <w:rPr>
                <w:rFonts w:hint="eastAsia" w:ascii="宋体" w:hAnsi="宋体" w:eastAsia="宋体" w:cs="Times New Roman"/>
                <w:kern w:val="0"/>
              </w:rPr>
              <w:t>有毒物品应储存在专门的场所、库房中，其贮存条件、贮存方式、贮存限量应符合GB 15603、GB 17916的规定。</w:t>
            </w:r>
          </w:p>
          <w:p>
            <w:pPr>
              <w:ind w:firstLine="560"/>
              <w:rPr>
                <w:rFonts w:hint="eastAsia" w:ascii="宋体" w:hAnsi="宋体" w:eastAsia="宋体" w:cs="Times New Roman"/>
                <w:kern w:val="0"/>
              </w:rPr>
            </w:pPr>
            <w:r>
              <w:rPr>
                <w:rFonts w:hint="eastAsia" w:ascii="宋体" w:hAnsi="宋体" w:eastAsia="宋体" w:cs="Times New Roman"/>
                <w:kern w:val="0"/>
                <w:lang w:eastAsia="zh-CN"/>
              </w:rPr>
              <w:t>⑷</w:t>
            </w:r>
            <w:r>
              <w:rPr>
                <w:rFonts w:hint="eastAsia" w:ascii="宋体" w:hAnsi="宋体" w:eastAsia="宋体" w:cs="Times New Roman"/>
                <w:kern w:val="0"/>
              </w:rPr>
              <w:t>对产生毒物的生产过程和设备，应优先采用机械化和自动化，避免人工操作；</w:t>
            </w:r>
          </w:p>
          <w:p>
            <w:pPr>
              <w:ind w:firstLine="560"/>
              <w:rPr>
                <w:rFonts w:hint="eastAsia" w:ascii="宋体" w:hAnsi="宋体" w:eastAsia="宋体" w:cs="Times New Roman"/>
                <w:kern w:val="0"/>
              </w:rPr>
            </w:pPr>
            <w:r>
              <w:rPr>
                <w:rFonts w:hint="eastAsia" w:ascii="宋体" w:hAnsi="宋体" w:eastAsia="宋体" w:cs="Times New Roman"/>
                <w:kern w:val="0"/>
                <w:lang w:eastAsia="zh-CN"/>
              </w:rPr>
              <w:t>⑸</w:t>
            </w:r>
            <w:r>
              <w:rPr>
                <w:rFonts w:hint="eastAsia" w:ascii="宋体" w:hAnsi="宋体" w:eastAsia="宋体" w:cs="Times New Roman"/>
                <w:kern w:val="0"/>
              </w:rPr>
              <w:t>根据毒物逸散特点，合理选择排毒设施、合理设置罩口形式、大小、风速等，有毒有害物质被吸入排毒罩口过程，不应通过操作者呼吸带，排毒要求的控制风速在0.25m/s～3m/s之间，常用风速为0.5m/s～1.5m/s。管道风速采用8m/s～12m/s；</w:t>
            </w:r>
          </w:p>
          <w:p>
            <w:pPr>
              <w:ind w:firstLine="560"/>
              <w:rPr>
                <w:rFonts w:hint="eastAsia" w:ascii="宋体" w:hAnsi="宋体" w:eastAsia="宋体" w:cs="Times New Roman"/>
                <w:kern w:val="0"/>
              </w:rPr>
            </w:pPr>
            <w:r>
              <w:rPr>
                <w:rFonts w:hint="eastAsia" w:ascii="宋体" w:hAnsi="宋体" w:eastAsia="宋体" w:cs="Times New Roman"/>
                <w:kern w:val="0"/>
                <w:lang w:eastAsia="zh-CN"/>
              </w:rPr>
              <w:t>⑹</w:t>
            </w:r>
            <w:r>
              <w:rPr>
                <w:rFonts w:hint="eastAsia" w:ascii="宋体" w:hAnsi="宋体" w:eastAsia="宋体" w:cs="Times New Roman"/>
                <w:kern w:val="0"/>
              </w:rPr>
              <w:t xml:space="preserve">工艺设备及除尘排毒系统应考虑有毒物质的可燃性及爆炸性特点，作业场所应避免存在引起有毒物质燃烧或爆炸的点燃源；加强职业卫生管理措施，减少接毒、接噪、接振等时间，加强个体防护、职业健康监护、职业卫生教育培训； </w:t>
            </w:r>
          </w:p>
          <w:p>
            <w:pPr>
              <w:ind w:firstLine="560"/>
              <w:rPr>
                <w:rFonts w:hint="eastAsia" w:ascii="宋体" w:hAnsi="宋体" w:eastAsia="宋体" w:cs="Times New Roman"/>
                <w:kern w:val="0"/>
              </w:rPr>
            </w:pPr>
            <w:r>
              <w:rPr>
                <w:rFonts w:hint="eastAsia" w:ascii="宋体" w:hAnsi="宋体" w:eastAsia="宋体" w:cs="Times New Roman"/>
                <w:kern w:val="0"/>
                <w:lang w:eastAsia="zh-CN"/>
              </w:rPr>
              <w:t>⑺</w:t>
            </w:r>
            <w:r>
              <w:rPr>
                <w:rFonts w:hint="eastAsia" w:ascii="宋体" w:hAnsi="宋体" w:eastAsia="宋体" w:cs="Times New Roman"/>
                <w:kern w:val="0"/>
              </w:rPr>
              <w:t>应建立定期对防毒设施进行检查维护的制度，防止堵塞；应定期检查尘毒收集、处理装置的工作状况，防止跑、冒、滴、漏。</w:t>
            </w:r>
          </w:p>
          <w:p>
            <w:pPr>
              <w:widowControl/>
              <w:jc w:val="left"/>
              <w:rPr>
                <w:rFonts w:ascii="宋体" w:hAnsi="宋体"/>
                <w:kern w:val="0"/>
              </w:rPr>
            </w:pPr>
          </w:p>
        </w:tc>
      </w:tr>
    </w:tbl>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240" w:lineRule="auto"/>
        <w:ind w:right="-153" w:rightChars="-73"/>
        <w:rPr>
          <w:rFonts w:hint="eastAsia" w:ascii="宋体" w:hAnsi="宋体" w:eastAsia="宋体"/>
          <w:kern w:val="0"/>
          <w:lang w:eastAsia="zh-CN"/>
        </w:rPr>
      </w:pPr>
      <w:r>
        <w:rPr>
          <w:rFonts w:hint="eastAsia" w:ascii="宋体" w:hAnsi="宋体" w:eastAsia="宋体"/>
          <w:kern w:val="0"/>
          <w:lang w:eastAsia="zh-CN"/>
        </w:rPr>
        <w:drawing>
          <wp:inline distT="0" distB="0" distL="114300" distR="114300">
            <wp:extent cx="5266690" cy="7019925"/>
            <wp:effectExtent l="0" t="0" r="10160" b="9525"/>
            <wp:docPr id="9" name="图片 9" descr="1edb8d5b777cda79442b6bc7564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db8d5b777cda79442b6bc75643662"/>
                    <pic:cNvPicPr>
                      <a:picLocks noChangeAspect="1"/>
                    </pic:cNvPicPr>
                  </pic:nvPicPr>
                  <pic:blipFill>
                    <a:blip r:embed="rId4"/>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8" name="图片 8" descr="3b21bcc289a3525ec8f961b4a7a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21bcc289a3525ec8f961b4a7a9300"/>
                    <pic:cNvPicPr>
                      <a:picLocks noChangeAspect="1"/>
                    </pic:cNvPicPr>
                  </pic:nvPicPr>
                  <pic:blipFill>
                    <a:blip r:embed="rId5"/>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7" name="图片 7" descr="9ba7a1996b2467d599b74b5c52c7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ba7a1996b2467d599b74b5c52c7b44"/>
                    <pic:cNvPicPr>
                      <a:picLocks noChangeAspect="1"/>
                    </pic:cNvPicPr>
                  </pic:nvPicPr>
                  <pic:blipFill>
                    <a:blip r:embed="rId6"/>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6" name="图片 6" descr="49d8a7e6810a32e8e20be90adac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d8a7e6810a32e8e20be90adac3242"/>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5" name="图片 5" descr="80951ffed2932d73960a414e5ef9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951ffed2932d73960a414e5ef9fa1"/>
                    <pic:cNvPicPr>
                      <a:picLocks noChangeAspect="1"/>
                    </pic:cNvPicPr>
                  </pic:nvPicPr>
                  <pic:blipFill>
                    <a:blip r:embed="rId8"/>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3" name="图片 3" descr="ca3a223aeae05e0ac442b19b2fed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3a223aeae05e0ac442b19b2feddbf"/>
                    <pic:cNvPicPr>
                      <a:picLocks noChangeAspect="1"/>
                    </pic:cNvPicPr>
                  </pic:nvPicPr>
                  <pic:blipFill>
                    <a:blip r:embed="rId9"/>
                    <a:stretch>
                      <a:fillRect/>
                    </a:stretch>
                  </pic:blipFill>
                  <pic:spPr>
                    <a:xfrm>
                      <a:off x="0" y="0"/>
                      <a:ext cx="5266690" cy="701992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6690" cy="7019925"/>
            <wp:effectExtent l="0" t="0" r="10160" b="9525"/>
            <wp:docPr id="2" name="图片 2" descr="e93c08b33a82869a461d533bd944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3c08b33a82869a461d533bd944bc9"/>
                    <pic:cNvPicPr>
                      <a:picLocks noChangeAspect="1"/>
                    </pic:cNvPicPr>
                  </pic:nvPicPr>
                  <pic:blipFill>
                    <a:blip r:embed="rId10"/>
                    <a:stretch>
                      <a:fillRect/>
                    </a:stretch>
                  </pic:blipFill>
                  <pic:spPr>
                    <a:xfrm>
                      <a:off x="0" y="0"/>
                      <a:ext cx="5266690" cy="7019925"/>
                    </a:xfrm>
                    <a:prstGeom prst="rect">
                      <a:avLst/>
                    </a:prstGeom>
                  </pic:spPr>
                </pic:pic>
              </a:graphicData>
            </a:graphic>
          </wp:inline>
        </w:drawing>
      </w:r>
    </w:p>
    <w:p>
      <w:pPr>
        <w:tabs>
          <w:tab w:val="left" w:pos="6840"/>
        </w:tabs>
        <w:spacing w:line="600" w:lineRule="exact"/>
        <w:ind w:right="-153" w:rightChars="-73"/>
        <w:rPr>
          <w:rFonts w:hint="eastAsia" w:ascii="宋体" w:hAnsi="宋体"/>
          <w:kern w:val="0"/>
        </w:rPr>
      </w:pPr>
      <w:r>
        <w:rPr>
          <w:rFonts w:hint="eastAsia" w:ascii="宋体" w:hAnsi="宋体"/>
          <w:kern w:val="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2"/>
      <w:numFmt w:val="decimal"/>
      <w:lvlText w:val="第%1章"/>
      <w:lvlJc w:val="left"/>
      <w:pPr>
        <w:tabs>
          <w:tab w:val="left" w:pos="1275"/>
        </w:tabs>
        <w:ind w:left="1275" w:hanging="1275"/>
      </w:pPr>
      <w:rPr>
        <w:rFonts w:hint="eastAsia"/>
      </w:rPr>
    </w:lvl>
    <w:lvl w:ilvl="1" w:tentative="0">
      <w:start w:val="1"/>
      <w:numFmt w:val="decimal"/>
      <w:pStyle w:val="7"/>
      <w:lvlText w:val="%1.%2"/>
      <w:lvlJc w:val="left"/>
      <w:pPr>
        <w:tabs>
          <w:tab w:val="left" w:pos="576"/>
        </w:tabs>
        <w:ind w:left="576" w:hanging="576"/>
      </w:pPr>
      <w:rPr>
        <w:rFonts w:hint="eastAsia"/>
      </w:rPr>
    </w:lvl>
    <w:lvl w:ilvl="2" w:tentative="0">
      <w:start w:val="1"/>
      <w:numFmt w:val="decimal"/>
      <w:lvlText w:val="%1.%2.%3"/>
      <w:lvlJc w:val="left"/>
      <w:pPr>
        <w:tabs>
          <w:tab w:val="left" w:pos="108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U2OGY4ODdiYTkwOTlmMTllNTA5MzAzZTQ3MGMwNTcifQ=="/>
  </w:docVars>
  <w:rsids>
    <w:rsidRoot w:val="00712171"/>
    <w:rsid w:val="00226195"/>
    <w:rsid w:val="00457941"/>
    <w:rsid w:val="004E08A2"/>
    <w:rsid w:val="00712171"/>
    <w:rsid w:val="008209DA"/>
    <w:rsid w:val="009419F4"/>
    <w:rsid w:val="00986290"/>
    <w:rsid w:val="00A96750"/>
    <w:rsid w:val="00AB0D77"/>
    <w:rsid w:val="00B27FF6"/>
    <w:rsid w:val="00D03AE0"/>
    <w:rsid w:val="00E8501B"/>
    <w:rsid w:val="00FF0A04"/>
    <w:rsid w:val="15EA4742"/>
    <w:rsid w:val="21E40FD7"/>
    <w:rsid w:val="3CAB7884"/>
    <w:rsid w:val="3EDD0256"/>
    <w:rsid w:val="3F163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1"/>
      <w:lang w:val="en-US" w:eastAsia="zh-CN" w:bidi="ar-SA"/>
    </w:rPr>
  </w:style>
  <w:style w:type="paragraph" w:styleId="6">
    <w:name w:val="heading 1"/>
    <w:basedOn w:val="1"/>
    <w:next w:val="1"/>
    <w:autoRedefine/>
    <w:qFormat/>
    <w:uiPriority w:val="0"/>
    <w:pPr>
      <w:keepNext/>
      <w:keepLines/>
      <w:spacing w:before="340" w:beforeLines="0" w:after="330" w:afterLines="0" w:line="25" w:lineRule="atLeast"/>
      <w:outlineLvl w:val="0"/>
    </w:pPr>
    <w:rPr>
      <w:rFonts w:ascii="Times New Roman" w:hAnsi="Times New Roman" w:eastAsia="仿宋_GB2312"/>
      <w:b/>
      <w:bCs/>
      <w:kern w:val="44"/>
      <w:sz w:val="30"/>
      <w:szCs w:val="44"/>
    </w:rPr>
  </w:style>
  <w:style w:type="paragraph" w:styleId="7">
    <w:name w:val="heading 2"/>
    <w:basedOn w:val="1"/>
    <w:next w:val="1"/>
    <w:autoRedefine/>
    <w:qFormat/>
    <w:uiPriority w:val="0"/>
    <w:pPr>
      <w:keepNext/>
      <w:keepLines/>
      <w:numPr>
        <w:ilvl w:val="1"/>
        <w:numId w:val="1"/>
      </w:numPr>
      <w:spacing w:before="60" w:beforeLines="0" w:line="300" w:lineRule="auto"/>
      <w:outlineLvl w:val="1"/>
    </w:pPr>
    <w:rPr>
      <w:rFonts w:ascii="Times New Roman" w:hAnsi="Times New Roman" w:eastAsia="仿宋_GB2312"/>
      <w:b/>
      <w:bCs/>
      <w:smallCaps/>
      <w:sz w:val="28"/>
      <w:szCs w:val="32"/>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unhideWhenUsed/>
    <w:qFormat/>
    <w:uiPriority w:val="0"/>
    <w:pPr>
      <w:widowControl w:val="0"/>
      <w:autoSpaceDE w:val="0"/>
      <w:autoSpaceDN w:val="0"/>
      <w:adjustRightInd w:val="0"/>
    </w:pPr>
    <w:rPr>
      <w:rFonts w:hint="eastAsia" w:ascii="宋体" w:hAnsi="宋体" w:eastAsia="宋体" w:cs="Times New Roman"/>
      <w:color w:val="000000"/>
      <w:sz w:val="24"/>
      <w:szCs w:val="22"/>
      <w:lang w:bidi="ar-SA"/>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autoRedefine/>
    <w:unhideWhenUsed/>
    <w:qFormat/>
    <w:uiPriority w:val="99"/>
    <w:pPr>
      <w:adjustRightInd w:val="0"/>
      <w:snapToGrid w:val="0"/>
      <w:spacing w:after="120" w:line="520" w:lineRule="exact"/>
      <w:ind w:firstLine="210" w:firstLineChars="0"/>
      <w:textAlignment w:val="baseline"/>
    </w:pPr>
    <w:rPr>
      <w:rFonts w:ascii="黑体" w:hAnsi="Arial" w:eastAsia="黑体" w:cs="Arial"/>
      <w:snapToGrid w:val="0"/>
      <w:kern w:val="0"/>
      <w:sz w:val="24"/>
      <w:szCs w:val="20"/>
    </w:rPr>
  </w:style>
  <w:style w:type="paragraph" w:styleId="5">
    <w:name w:val="Body Text Indent"/>
    <w:basedOn w:val="1"/>
    <w:next w:val="1"/>
    <w:autoRedefine/>
    <w:qFormat/>
    <w:uiPriority w:val="0"/>
    <w:pPr>
      <w:ind w:firstLine="560" w:firstLineChars="200"/>
    </w:pPr>
    <w:rPr>
      <w:sz w:val="28"/>
    </w:rPr>
  </w:style>
  <w:style w:type="paragraph" w:styleId="8">
    <w:name w:val="Balloon Text"/>
    <w:basedOn w:val="1"/>
    <w:link w:val="16"/>
    <w:autoRedefine/>
    <w:semiHidden/>
    <w:unhideWhenUsed/>
    <w:qFormat/>
    <w:uiPriority w:val="99"/>
    <w:rPr>
      <w:sz w:val="18"/>
      <w:szCs w:val="18"/>
    </w:rPr>
  </w:style>
  <w:style w:type="paragraph" w:styleId="9">
    <w:name w:val="footer"/>
    <w:basedOn w:val="1"/>
    <w:link w:val="15"/>
    <w:autoRedefine/>
    <w:semiHidden/>
    <w:unhideWhenUsed/>
    <w:qFormat/>
    <w:uiPriority w:val="99"/>
    <w:pPr>
      <w:tabs>
        <w:tab w:val="center" w:pos="4153"/>
        <w:tab w:val="right" w:pos="8306"/>
      </w:tabs>
      <w:snapToGrid w:val="0"/>
      <w:jc w:val="left"/>
    </w:pPr>
    <w:rPr>
      <w:sz w:val="18"/>
      <w:szCs w:val="18"/>
    </w:rPr>
  </w:style>
  <w:style w:type="paragraph" w:styleId="10">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next w:val="1"/>
    <w:autoRedefine/>
    <w:qFormat/>
    <w:uiPriority w:val="0"/>
    <w:pPr>
      <w:widowControl/>
      <w:spacing w:before="100" w:beforeAutospacing="1" w:after="100" w:afterAutospacing="1" w:line="490" w:lineRule="exact"/>
      <w:ind w:firstLine="200" w:firstLineChars="200"/>
      <w:jc w:val="left"/>
    </w:pPr>
    <w:rPr>
      <w:rFonts w:ascii="宋体" w:hAnsi="宋体" w:cs="宋体"/>
      <w:kern w:val="0"/>
      <w:sz w:val="24"/>
      <w:szCs w:val="24"/>
    </w:rPr>
  </w:style>
  <w:style w:type="character" w:customStyle="1" w:styleId="14">
    <w:name w:val="页眉 Char"/>
    <w:basedOn w:val="13"/>
    <w:link w:val="10"/>
    <w:autoRedefine/>
    <w:semiHidden/>
    <w:qFormat/>
    <w:uiPriority w:val="99"/>
    <w:rPr>
      <w:rFonts w:ascii="Calibri" w:hAnsi="Calibri" w:eastAsia="宋体" w:cs="Times New Roman"/>
      <w:sz w:val="18"/>
      <w:szCs w:val="18"/>
    </w:rPr>
  </w:style>
  <w:style w:type="character" w:customStyle="1" w:styleId="15">
    <w:name w:val="页脚 Char"/>
    <w:basedOn w:val="13"/>
    <w:link w:val="9"/>
    <w:autoRedefine/>
    <w:semiHidden/>
    <w:qFormat/>
    <w:uiPriority w:val="99"/>
    <w:rPr>
      <w:rFonts w:ascii="Calibri" w:hAnsi="Calibri" w:eastAsia="宋体" w:cs="Times New Roman"/>
      <w:sz w:val="18"/>
      <w:szCs w:val="18"/>
    </w:rPr>
  </w:style>
  <w:style w:type="character" w:customStyle="1" w:styleId="16">
    <w:name w:val="批注框文本 Char"/>
    <w:basedOn w:val="13"/>
    <w:link w:val="8"/>
    <w:autoRedefine/>
    <w:semiHidden/>
    <w:qFormat/>
    <w:uiPriority w:val="99"/>
    <w:rPr>
      <w:rFonts w:ascii="Calibri" w:hAnsi="Calibri" w:eastAsia="宋体" w:cs="Times New Roman"/>
      <w:sz w:val="18"/>
      <w:szCs w:val="18"/>
    </w:rPr>
  </w:style>
  <w:style w:type="paragraph" w:customStyle="1" w:styleId="17">
    <w:name w:val="样式 标题 2"/>
    <w:basedOn w:val="7"/>
    <w:qFormat/>
    <w:uiPriority w:val="0"/>
    <w:pPr>
      <w:adjustRightInd w:val="0"/>
      <w:snapToGrid w:val="0"/>
      <w:spacing w:before="120" w:beforeLines="0" w:after="120" w:afterLines="0" w:line="240" w:lineRule="auto"/>
      <w:textAlignment w:val="baseline"/>
    </w:pPr>
    <w:rPr>
      <w:rFonts w:ascii="Arial" w:hAnsi="Arial" w:eastAsia="宋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Pages>
  <Words>264</Words>
  <Characters>1506</Characters>
  <Lines>12</Lines>
  <Paragraphs>3</Paragraphs>
  <TotalTime>0</TotalTime>
  <ScaleCrop>false</ScaleCrop>
  <LinksUpToDate>false</LinksUpToDate>
  <CharactersWithSpaces>1767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2023-12-27T03:30:00Z</dcterms:created>
  <dc:creator>微软用户</dc:creator>
  <cp:lastModifiedBy>Administrator</cp:lastModifiedBy>
  <dcterms:modified xsi:type="dcterms:W3CDTF">2024-01-24T01:40:46Z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8A99A501F5994F539EFC230AA2A5D153_12</vt:lpwstr>
  </property>
</Properties>
</file>